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F87C" w14:textId="0E7D08E8" w:rsidR="00B80200" w:rsidRPr="006D140E" w:rsidRDefault="0014666D" w:rsidP="0014666D">
      <w:pPr>
        <w:rPr>
          <w:bCs/>
          <w:smallCaps/>
          <w:sz w:val="28"/>
          <w:szCs w:val="28"/>
        </w:rPr>
      </w:pPr>
      <w:r w:rsidRPr="006D140E">
        <w:rPr>
          <w:b/>
          <w:bCs/>
          <w:smallCaps/>
          <w:sz w:val="28"/>
          <w:szCs w:val="28"/>
        </w:rPr>
        <w:t>Committee Name:</w:t>
      </w:r>
      <w:r w:rsidR="00D5524D" w:rsidRPr="006D140E">
        <w:rPr>
          <w:b/>
          <w:bCs/>
          <w:smallCaps/>
          <w:sz w:val="28"/>
          <w:szCs w:val="28"/>
        </w:rPr>
        <w:t xml:space="preserve"> </w:t>
      </w:r>
      <w:r w:rsidR="00D5524D" w:rsidRPr="006D140E">
        <w:rPr>
          <w:bCs/>
          <w:smallCaps/>
          <w:sz w:val="28"/>
          <w:szCs w:val="28"/>
        </w:rPr>
        <w:t>Executive Committee of University Senate (ECUS)</w:t>
      </w:r>
      <w:r w:rsidR="003A51D3" w:rsidRPr="006D140E">
        <w:rPr>
          <w:bCs/>
          <w:smallCaps/>
          <w:sz w:val="28"/>
          <w:szCs w:val="28"/>
        </w:rPr>
        <w:t xml:space="preserve"> with Standing Committee Chairs</w:t>
      </w:r>
      <w:r w:rsidR="004E3E6B" w:rsidRPr="006D140E">
        <w:rPr>
          <w:bCs/>
          <w:smallCaps/>
          <w:sz w:val="28"/>
          <w:szCs w:val="28"/>
        </w:rPr>
        <w:t xml:space="preserve"> (SCC)</w:t>
      </w:r>
    </w:p>
    <w:p w14:paraId="41DD7F65" w14:textId="5E5419B3" w:rsidR="0014666D" w:rsidRPr="006D140E" w:rsidRDefault="0014666D" w:rsidP="0014666D">
      <w:pPr>
        <w:rPr>
          <w:bCs/>
          <w:smallCaps/>
          <w:sz w:val="28"/>
          <w:szCs w:val="28"/>
        </w:rPr>
      </w:pPr>
      <w:r w:rsidRPr="006D140E">
        <w:rPr>
          <w:b/>
          <w:bCs/>
          <w:smallCaps/>
          <w:sz w:val="28"/>
          <w:szCs w:val="28"/>
        </w:rPr>
        <w:t>Meeting Date</w:t>
      </w:r>
      <w:r w:rsidR="00AC06FB" w:rsidRPr="006D140E">
        <w:rPr>
          <w:b/>
          <w:bCs/>
          <w:smallCaps/>
          <w:sz w:val="28"/>
          <w:szCs w:val="28"/>
        </w:rPr>
        <w:t xml:space="preserve"> &amp; Time</w:t>
      </w:r>
      <w:r w:rsidRPr="006D140E">
        <w:rPr>
          <w:b/>
          <w:bCs/>
          <w:smallCaps/>
          <w:sz w:val="28"/>
          <w:szCs w:val="28"/>
        </w:rPr>
        <w:t xml:space="preserve">: </w:t>
      </w:r>
      <w:r w:rsidR="00D5524D" w:rsidRPr="006D140E">
        <w:rPr>
          <w:bCs/>
          <w:smallCaps/>
          <w:sz w:val="28"/>
          <w:szCs w:val="28"/>
        </w:rPr>
        <w:t xml:space="preserve">Friday, </w:t>
      </w:r>
      <w:r w:rsidR="008F2BD4" w:rsidRPr="006D140E">
        <w:rPr>
          <w:bCs/>
          <w:smallCaps/>
          <w:sz w:val="28"/>
          <w:szCs w:val="28"/>
        </w:rPr>
        <w:t>October 4</w:t>
      </w:r>
      <w:r w:rsidR="00D5524D" w:rsidRPr="006D140E">
        <w:rPr>
          <w:bCs/>
          <w:smallCaps/>
          <w:sz w:val="28"/>
          <w:szCs w:val="28"/>
        </w:rPr>
        <w:t xml:space="preserve">, 2019, </w:t>
      </w:r>
      <w:r w:rsidR="003A51D3" w:rsidRPr="006D140E">
        <w:rPr>
          <w:bCs/>
          <w:smallCaps/>
          <w:sz w:val="28"/>
          <w:szCs w:val="28"/>
        </w:rPr>
        <w:t>3</w:t>
      </w:r>
      <w:r w:rsidR="00D5524D" w:rsidRPr="006D140E">
        <w:rPr>
          <w:bCs/>
          <w:smallCaps/>
          <w:sz w:val="28"/>
          <w:szCs w:val="28"/>
        </w:rPr>
        <w:t>:</w:t>
      </w:r>
      <w:r w:rsidR="003A51D3" w:rsidRPr="006D140E">
        <w:rPr>
          <w:bCs/>
          <w:smallCaps/>
          <w:sz w:val="28"/>
          <w:szCs w:val="28"/>
        </w:rPr>
        <w:t>3</w:t>
      </w:r>
      <w:r w:rsidR="00D5524D" w:rsidRPr="006D140E">
        <w:rPr>
          <w:bCs/>
          <w:smallCaps/>
          <w:sz w:val="28"/>
          <w:szCs w:val="28"/>
        </w:rPr>
        <w:t>0-</w:t>
      </w:r>
      <w:r w:rsidR="003A51D3" w:rsidRPr="006D140E">
        <w:rPr>
          <w:bCs/>
          <w:smallCaps/>
          <w:sz w:val="28"/>
          <w:szCs w:val="28"/>
        </w:rPr>
        <w:t>4</w:t>
      </w:r>
      <w:r w:rsidR="00D5524D" w:rsidRPr="006D140E">
        <w:rPr>
          <w:bCs/>
          <w:smallCaps/>
          <w:sz w:val="28"/>
          <w:szCs w:val="28"/>
        </w:rPr>
        <w:t>:</w:t>
      </w:r>
      <w:r w:rsidR="003A51D3" w:rsidRPr="006D140E">
        <w:rPr>
          <w:bCs/>
          <w:smallCaps/>
          <w:sz w:val="28"/>
          <w:szCs w:val="28"/>
        </w:rPr>
        <w:t>4</w:t>
      </w:r>
      <w:r w:rsidR="00D5524D" w:rsidRPr="006D140E">
        <w:rPr>
          <w:bCs/>
          <w:smallCaps/>
          <w:sz w:val="28"/>
          <w:szCs w:val="28"/>
        </w:rPr>
        <w:t>5 p.m.</w:t>
      </w:r>
    </w:p>
    <w:p w14:paraId="696D1111" w14:textId="442F3194" w:rsidR="00973FD5" w:rsidRPr="006D140E" w:rsidRDefault="0014666D" w:rsidP="0014666D">
      <w:pPr>
        <w:rPr>
          <w:b/>
          <w:bCs/>
          <w:smallCaps/>
          <w:sz w:val="28"/>
          <w:szCs w:val="28"/>
        </w:rPr>
      </w:pPr>
      <w:r w:rsidRPr="006D140E">
        <w:rPr>
          <w:b/>
          <w:bCs/>
          <w:smallCaps/>
          <w:sz w:val="28"/>
          <w:szCs w:val="28"/>
        </w:rPr>
        <w:t xml:space="preserve">Meeting Location: </w:t>
      </w:r>
      <w:r w:rsidR="008F2BD4" w:rsidRPr="006D140E">
        <w:rPr>
          <w:bCs/>
          <w:smallCaps/>
          <w:sz w:val="28"/>
          <w:szCs w:val="28"/>
        </w:rPr>
        <w:t>Parks Hall 301</w:t>
      </w:r>
    </w:p>
    <w:p w14:paraId="1834AF0A" w14:textId="77777777" w:rsidR="00B80200" w:rsidRPr="006D140E" w:rsidRDefault="00B80200">
      <w:pPr>
        <w:jc w:val="center"/>
        <w:rPr>
          <w:b/>
          <w:bCs/>
          <w:sz w:val="28"/>
          <w:szCs w:val="28"/>
        </w:rPr>
      </w:pPr>
    </w:p>
    <w:p w14:paraId="57F3E057" w14:textId="6391EAD3" w:rsidR="009C6C78" w:rsidRPr="006D140E" w:rsidRDefault="00973FD5">
      <w:pPr>
        <w:rPr>
          <w:smallCaps/>
          <w:sz w:val="28"/>
          <w:szCs w:val="28"/>
        </w:rPr>
      </w:pPr>
      <w:r w:rsidRPr="006D140E">
        <w:rPr>
          <w:b/>
          <w:bCs/>
          <w:smallCaps/>
          <w:sz w:val="28"/>
          <w:szCs w:val="28"/>
        </w:rPr>
        <w:t>A</w:t>
      </w:r>
      <w:r w:rsidR="00750727" w:rsidRPr="006D140E">
        <w:rPr>
          <w:b/>
          <w:bCs/>
          <w:smallCaps/>
          <w:sz w:val="28"/>
          <w:szCs w:val="28"/>
        </w:rPr>
        <w:t>ttendance</w:t>
      </w:r>
      <w:r w:rsidRPr="006D140E">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6D140E" w14:paraId="4803B2AC" w14:textId="77777777" w:rsidTr="000173B5">
        <w:tc>
          <w:tcPr>
            <w:tcW w:w="9360" w:type="dxa"/>
            <w:gridSpan w:val="2"/>
            <w:vAlign w:val="center"/>
          </w:tcPr>
          <w:p w14:paraId="7FBE710B" w14:textId="21D9B5AE" w:rsidR="00F459A1" w:rsidRPr="006D140E" w:rsidRDefault="00F459A1" w:rsidP="00F459A1">
            <w:r w:rsidRPr="006D140E">
              <w:rPr>
                <w:b/>
                <w:bCs/>
                <w:smallCaps/>
              </w:rPr>
              <w:t>Members</w:t>
            </w:r>
            <w:r w:rsidR="002B6719" w:rsidRPr="006D140E">
              <w:rPr>
                <w:b/>
                <w:bCs/>
                <w:smallCaps/>
              </w:rPr>
              <w:t xml:space="preserve">                                </w:t>
            </w:r>
            <w:r w:rsidRPr="006D140E">
              <w:rPr>
                <w:b/>
              </w:rPr>
              <w:t>“P” denotes Present,  “A” denotes Absent, “R” denotes Regrets</w:t>
            </w:r>
          </w:p>
        </w:tc>
      </w:tr>
      <w:tr w:rsidR="00F459A1" w:rsidRPr="006D140E" w14:paraId="285C4756" w14:textId="77777777" w:rsidTr="000173B5">
        <w:tc>
          <w:tcPr>
            <w:tcW w:w="720" w:type="dxa"/>
            <w:vAlign w:val="center"/>
          </w:tcPr>
          <w:p w14:paraId="06558E01" w14:textId="31492FB6" w:rsidR="00F459A1" w:rsidRPr="006D140E" w:rsidRDefault="00F459A1" w:rsidP="002B6719">
            <w:pPr>
              <w:jc w:val="center"/>
              <w:rPr>
                <w:b/>
                <w:bCs/>
                <w:smallCaps/>
              </w:rPr>
            </w:pPr>
            <w:r w:rsidRPr="006D140E">
              <w:rPr>
                <w:b/>
                <w:bCs/>
              </w:rPr>
              <w:t>P</w:t>
            </w:r>
          </w:p>
        </w:tc>
        <w:tc>
          <w:tcPr>
            <w:tcW w:w="8640" w:type="dxa"/>
            <w:vAlign w:val="center"/>
          </w:tcPr>
          <w:p w14:paraId="44D13147" w14:textId="5FB82757" w:rsidR="00F459A1" w:rsidRPr="006D140E" w:rsidRDefault="00F459A1" w:rsidP="00F459A1">
            <w:pPr>
              <w:rPr>
                <w:smallCaps/>
              </w:rPr>
            </w:pPr>
            <w:r w:rsidRPr="006D140E">
              <w:t>Alex Blazer (CoAS, ECUS Chair Emeritus and Secretary)</w:t>
            </w:r>
          </w:p>
        </w:tc>
      </w:tr>
      <w:tr w:rsidR="00F459A1" w:rsidRPr="006D140E" w14:paraId="5A6AEEFD" w14:textId="77777777" w:rsidTr="000173B5">
        <w:tc>
          <w:tcPr>
            <w:tcW w:w="720" w:type="dxa"/>
            <w:vAlign w:val="center"/>
          </w:tcPr>
          <w:p w14:paraId="77298036" w14:textId="36CA26B9" w:rsidR="00F459A1" w:rsidRPr="006D140E" w:rsidRDefault="00F459A1" w:rsidP="002B6719">
            <w:pPr>
              <w:jc w:val="center"/>
              <w:rPr>
                <w:b/>
                <w:bCs/>
                <w:smallCaps/>
              </w:rPr>
            </w:pPr>
            <w:r w:rsidRPr="006D140E">
              <w:rPr>
                <w:b/>
                <w:bCs/>
              </w:rPr>
              <w:t>P</w:t>
            </w:r>
          </w:p>
        </w:tc>
        <w:tc>
          <w:tcPr>
            <w:tcW w:w="8640" w:type="dxa"/>
            <w:vAlign w:val="center"/>
          </w:tcPr>
          <w:p w14:paraId="67524697" w14:textId="043C5330" w:rsidR="00F459A1" w:rsidRPr="006D140E" w:rsidRDefault="00F459A1" w:rsidP="00F459A1">
            <w:pPr>
              <w:rPr>
                <w:smallCaps/>
              </w:rPr>
            </w:pPr>
            <w:r w:rsidRPr="006D140E">
              <w:t>Hauke Busch (CoAS, ECUS Vice-Chair)</w:t>
            </w:r>
          </w:p>
        </w:tc>
      </w:tr>
      <w:tr w:rsidR="00F459A1" w:rsidRPr="006D140E" w14:paraId="31C20DF0" w14:textId="77777777" w:rsidTr="000173B5">
        <w:tc>
          <w:tcPr>
            <w:tcW w:w="720" w:type="dxa"/>
            <w:vAlign w:val="center"/>
          </w:tcPr>
          <w:p w14:paraId="535F3B79" w14:textId="195012F6" w:rsidR="00F459A1" w:rsidRPr="006D140E" w:rsidRDefault="00F459A1" w:rsidP="002B6719">
            <w:pPr>
              <w:jc w:val="center"/>
              <w:rPr>
                <w:b/>
                <w:bCs/>
                <w:smallCaps/>
              </w:rPr>
            </w:pPr>
            <w:r w:rsidRPr="006D140E">
              <w:rPr>
                <w:b/>
                <w:bCs/>
              </w:rPr>
              <w:t>R</w:t>
            </w:r>
          </w:p>
        </w:tc>
        <w:tc>
          <w:tcPr>
            <w:tcW w:w="8640" w:type="dxa"/>
            <w:vAlign w:val="center"/>
          </w:tcPr>
          <w:p w14:paraId="41429104" w14:textId="2FF41586" w:rsidR="00F459A1" w:rsidRPr="006D140E" w:rsidRDefault="00F459A1" w:rsidP="00F459A1">
            <w:pPr>
              <w:rPr>
                <w:smallCaps/>
              </w:rPr>
            </w:pPr>
            <w:r w:rsidRPr="006D140E">
              <w:t>Steve Dorman (University President)</w:t>
            </w:r>
          </w:p>
        </w:tc>
      </w:tr>
      <w:tr w:rsidR="00F459A1" w:rsidRPr="006D140E" w14:paraId="31E6E683" w14:textId="77777777" w:rsidTr="000173B5">
        <w:tc>
          <w:tcPr>
            <w:tcW w:w="720" w:type="dxa"/>
            <w:vAlign w:val="center"/>
          </w:tcPr>
          <w:p w14:paraId="7C9D6E99" w14:textId="41EA8B53" w:rsidR="00F459A1" w:rsidRPr="006D140E" w:rsidRDefault="00F459A1" w:rsidP="002B6719">
            <w:pPr>
              <w:jc w:val="center"/>
              <w:rPr>
                <w:b/>
                <w:bCs/>
                <w:smallCaps/>
              </w:rPr>
            </w:pPr>
            <w:r w:rsidRPr="006D140E">
              <w:rPr>
                <w:b/>
                <w:bCs/>
              </w:rPr>
              <w:t>P</w:t>
            </w:r>
          </w:p>
        </w:tc>
        <w:tc>
          <w:tcPr>
            <w:tcW w:w="8640" w:type="dxa"/>
            <w:vAlign w:val="center"/>
          </w:tcPr>
          <w:p w14:paraId="39C0BB86" w14:textId="5DEFBA3B" w:rsidR="00F459A1" w:rsidRPr="006D140E" w:rsidRDefault="00F459A1" w:rsidP="00F459A1">
            <w:pPr>
              <w:rPr>
                <w:smallCaps/>
              </w:rPr>
            </w:pPr>
            <w:r w:rsidRPr="006D140E">
              <w:t>Jeff Dowdy (Library, ECUS Member)</w:t>
            </w:r>
          </w:p>
        </w:tc>
      </w:tr>
      <w:tr w:rsidR="00F459A1" w:rsidRPr="006D140E" w14:paraId="638C2E38" w14:textId="77777777" w:rsidTr="000173B5">
        <w:tc>
          <w:tcPr>
            <w:tcW w:w="720" w:type="dxa"/>
            <w:vAlign w:val="center"/>
          </w:tcPr>
          <w:p w14:paraId="0225F979" w14:textId="50C8436C" w:rsidR="00F459A1" w:rsidRPr="006D140E" w:rsidRDefault="00F459A1" w:rsidP="002B6719">
            <w:pPr>
              <w:jc w:val="center"/>
              <w:rPr>
                <w:b/>
                <w:bCs/>
                <w:smallCaps/>
              </w:rPr>
            </w:pPr>
            <w:r w:rsidRPr="006D140E">
              <w:rPr>
                <w:b/>
                <w:bCs/>
              </w:rPr>
              <w:t>P</w:t>
            </w:r>
          </w:p>
        </w:tc>
        <w:tc>
          <w:tcPr>
            <w:tcW w:w="8640" w:type="dxa"/>
            <w:vAlign w:val="center"/>
          </w:tcPr>
          <w:p w14:paraId="4774B68E" w14:textId="2DCF65D8" w:rsidR="00F459A1" w:rsidRPr="006D140E" w:rsidRDefault="00F459A1" w:rsidP="00F459A1">
            <w:pPr>
              <w:rPr>
                <w:smallCaps/>
              </w:rPr>
            </w:pPr>
            <w:r w:rsidRPr="006D140E">
              <w:t>Catherine Fowler (CoHS, ECUS Member)</w:t>
            </w:r>
          </w:p>
        </w:tc>
      </w:tr>
      <w:tr w:rsidR="00F459A1" w:rsidRPr="006D140E" w14:paraId="1DF71072" w14:textId="77777777" w:rsidTr="000173B5">
        <w:tc>
          <w:tcPr>
            <w:tcW w:w="720" w:type="dxa"/>
            <w:vAlign w:val="center"/>
          </w:tcPr>
          <w:p w14:paraId="13D5FBFA" w14:textId="3CE01369" w:rsidR="00F459A1" w:rsidRPr="006D140E" w:rsidRDefault="00F459A1" w:rsidP="002B6719">
            <w:pPr>
              <w:jc w:val="center"/>
              <w:rPr>
                <w:b/>
                <w:bCs/>
                <w:smallCaps/>
              </w:rPr>
            </w:pPr>
            <w:r w:rsidRPr="006D140E">
              <w:rPr>
                <w:b/>
                <w:bCs/>
              </w:rPr>
              <w:t>P</w:t>
            </w:r>
          </w:p>
        </w:tc>
        <w:tc>
          <w:tcPr>
            <w:tcW w:w="8640" w:type="dxa"/>
            <w:vAlign w:val="center"/>
          </w:tcPr>
          <w:p w14:paraId="2DDD4D9B" w14:textId="7B55653A" w:rsidR="00F459A1" w:rsidRPr="006D140E" w:rsidRDefault="00F459A1" w:rsidP="00F459A1">
            <w:pPr>
              <w:rPr>
                <w:smallCaps/>
              </w:rPr>
            </w:pPr>
            <w:r w:rsidRPr="006D140E">
              <w:t>David Johnson (CoAS, ECUS Chair)</w:t>
            </w:r>
          </w:p>
        </w:tc>
      </w:tr>
      <w:tr w:rsidR="00F459A1" w:rsidRPr="006D140E" w14:paraId="10228912" w14:textId="77777777" w:rsidTr="000173B5">
        <w:tc>
          <w:tcPr>
            <w:tcW w:w="720" w:type="dxa"/>
            <w:vAlign w:val="center"/>
          </w:tcPr>
          <w:p w14:paraId="2A3EB6CA" w14:textId="16196A38" w:rsidR="00F459A1" w:rsidRPr="006D140E" w:rsidRDefault="00F459A1" w:rsidP="002B6719">
            <w:pPr>
              <w:jc w:val="center"/>
              <w:rPr>
                <w:b/>
                <w:bCs/>
                <w:smallCaps/>
              </w:rPr>
            </w:pPr>
            <w:r w:rsidRPr="006D140E">
              <w:rPr>
                <w:b/>
                <w:bCs/>
              </w:rPr>
              <w:t>P</w:t>
            </w:r>
          </w:p>
        </w:tc>
        <w:tc>
          <w:tcPr>
            <w:tcW w:w="8640" w:type="dxa"/>
            <w:vAlign w:val="center"/>
          </w:tcPr>
          <w:p w14:paraId="68B558F4" w14:textId="680C9B77" w:rsidR="00F459A1" w:rsidRPr="006D140E" w:rsidRDefault="00F459A1" w:rsidP="00F459A1">
            <w:pPr>
              <w:rPr>
                <w:smallCaps/>
              </w:rPr>
            </w:pPr>
            <w:r w:rsidRPr="006D140E">
              <w:t>Lyndall Muschell (CoE, ECUS Member)</w:t>
            </w:r>
          </w:p>
        </w:tc>
      </w:tr>
      <w:tr w:rsidR="00F459A1" w:rsidRPr="006D140E" w14:paraId="5023CD3A" w14:textId="77777777" w:rsidTr="000173B5">
        <w:tc>
          <w:tcPr>
            <w:tcW w:w="720" w:type="dxa"/>
            <w:vAlign w:val="center"/>
          </w:tcPr>
          <w:p w14:paraId="61C0489D" w14:textId="46B51C1E" w:rsidR="00F459A1" w:rsidRPr="006D140E" w:rsidRDefault="00F459A1" w:rsidP="002B6719">
            <w:pPr>
              <w:jc w:val="center"/>
              <w:rPr>
                <w:b/>
                <w:bCs/>
                <w:smallCaps/>
              </w:rPr>
            </w:pPr>
            <w:r w:rsidRPr="006D140E">
              <w:rPr>
                <w:b/>
                <w:bCs/>
              </w:rPr>
              <w:t>P</w:t>
            </w:r>
          </w:p>
        </w:tc>
        <w:tc>
          <w:tcPr>
            <w:tcW w:w="8640" w:type="dxa"/>
            <w:vAlign w:val="center"/>
          </w:tcPr>
          <w:p w14:paraId="28AEACB1" w14:textId="2D04765A" w:rsidR="00F459A1" w:rsidRPr="006D140E" w:rsidRDefault="00F459A1" w:rsidP="00F459A1">
            <w:pPr>
              <w:rPr>
                <w:smallCaps/>
              </w:rPr>
            </w:pPr>
            <w:r w:rsidRPr="006D140E">
              <w:t>Costas Spirou (Provost)</w:t>
            </w:r>
          </w:p>
        </w:tc>
      </w:tr>
      <w:tr w:rsidR="00F459A1" w:rsidRPr="006D140E" w14:paraId="61360FE5" w14:textId="77777777" w:rsidTr="000173B5">
        <w:tc>
          <w:tcPr>
            <w:tcW w:w="720" w:type="dxa"/>
            <w:vAlign w:val="center"/>
          </w:tcPr>
          <w:p w14:paraId="7C364FF3" w14:textId="1F3D312A" w:rsidR="00F459A1" w:rsidRPr="006D140E" w:rsidRDefault="00F459A1" w:rsidP="002B6719">
            <w:pPr>
              <w:jc w:val="center"/>
              <w:rPr>
                <w:b/>
                <w:bCs/>
                <w:smallCaps/>
              </w:rPr>
            </w:pPr>
            <w:r w:rsidRPr="006D140E">
              <w:rPr>
                <w:b/>
                <w:bCs/>
              </w:rPr>
              <w:t>R</w:t>
            </w:r>
          </w:p>
        </w:tc>
        <w:tc>
          <w:tcPr>
            <w:tcW w:w="8640" w:type="dxa"/>
            <w:vAlign w:val="center"/>
          </w:tcPr>
          <w:p w14:paraId="4AA619BC" w14:textId="0993E344" w:rsidR="00F459A1" w:rsidRPr="006D140E" w:rsidRDefault="00F459A1" w:rsidP="00F459A1">
            <w:pPr>
              <w:rPr>
                <w:smallCaps/>
              </w:rPr>
            </w:pPr>
            <w:r w:rsidRPr="006D140E">
              <w:t>John Swinton (CoB, ECUS Member)</w:t>
            </w:r>
          </w:p>
        </w:tc>
      </w:tr>
      <w:tr w:rsidR="003A51D3" w:rsidRPr="006D140E" w14:paraId="1213426B" w14:textId="77777777" w:rsidTr="000173B5">
        <w:tc>
          <w:tcPr>
            <w:tcW w:w="720" w:type="dxa"/>
            <w:vAlign w:val="center"/>
          </w:tcPr>
          <w:p w14:paraId="73032CA7" w14:textId="6B5317EB" w:rsidR="003A51D3" w:rsidRPr="006D140E" w:rsidRDefault="003A51D3" w:rsidP="002B6719">
            <w:pPr>
              <w:jc w:val="center"/>
              <w:rPr>
                <w:b/>
                <w:bCs/>
              </w:rPr>
            </w:pPr>
            <w:r w:rsidRPr="006D140E">
              <w:rPr>
                <w:b/>
                <w:bCs/>
              </w:rPr>
              <w:t>R</w:t>
            </w:r>
          </w:p>
        </w:tc>
        <w:tc>
          <w:tcPr>
            <w:tcW w:w="8640" w:type="dxa"/>
            <w:vAlign w:val="center"/>
          </w:tcPr>
          <w:p w14:paraId="5BD4E99E" w14:textId="28B0211A" w:rsidR="003A51D3" w:rsidRPr="006D140E" w:rsidRDefault="003A51D3" w:rsidP="00F459A1">
            <w:r w:rsidRPr="006D140E">
              <w:t>Nicole DeClouette (APC Chair)</w:t>
            </w:r>
          </w:p>
        </w:tc>
      </w:tr>
      <w:tr w:rsidR="003A51D3" w:rsidRPr="006D140E" w14:paraId="724C11C8" w14:textId="77777777" w:rsidTr="000173B5">
        <w:tc>
          <w:tcPr>
            <w:tcW w:w="720" w:type="dxa"/>
            <w:vAlign w:val="center"/>
          </w:tcPr>
          <w:p w14:paraId="4DA07CCF" w14:textId="07F2A8CF" w:rsidR="003A51D3" w:rsidRPr="006D140E" w:rsidRDefault="003A51D3" w:rsidP="002B6719">
            <w:pPr>
              <w:jc w:val="center"/>
              <w:rPr>
                <w:b/>
                <w:bCs/>
              </w:rPr>
            </w:pPr>
            <w:r w:rsidRPr="006D140E">
              <w:rPr>
                <w:b/>
                <w:bCs/>
              </w:rPr>
              <w:t>P</w:t>
            </w:r>
          </w:p>
        </w:tc>
        <w:tc>
          <w:tcPr>
            <w:tcW w:w="8640" w:type="dxa"/>
            <w:vAlign w:val="center"/>
          </w:tcPr>
          <w:p w14:paraId="20E0FCB9" w14:textId="5F861025" w:rsidR="003A51D3" w:rsidRPr="006D140E" w:rsidRDefault="003A51D3" w:rsidP="00F459A1">
            <w:r w:rsidRPr="006D140E">
              <w:t>Matt Forrest (FAPC Chair)</w:t>
            </w:r>
          </w:p>
        </w:tc>
      </w:tr>
      <w:tr w:rsidR="003A51D3" w:rsidRPr="006D140E" w14:paraId="3C720EFA" w14:textId="77777777" w:rsidTr="000173B5">
        <w:tc>
          <w:tcPr>
            <w:tcW w:w="720" w:type="dxa"/>
            <w:vAlign w:val="center"/>
          </w:tcPr>
          <w:p w14:paraId="27E9B87A" w14:textId="35263309" w:rsidR="003A51D3" w:rsidRPr="006D140E" w:rsidRDefault="003A51D3" w:rsidP="002B6719">
            <w:pPr>
              <w:jc w:val="center"/>
              <w:rPr>
                <w:b/>
                <w:bCs/>
              </w:rPr>
            </w:pPr>
            <w:r w:rsidRPr="006D140E">
              <w:rPr>
                <w:b/>
                <w:bCs/>
              </w:rPr>
              <w:t>P</w:t>
            </w:r>
          </w:p>
        </w:tc>
        <w:tc>
          <w:tcPr>
            <w:tcW w:w="8640" w:type="dxa"/>
            <w:vAlign w:val="center"/>
          </w:tcPr>
          <w:p w14:paraId="4C56E3E8" w14:textId="7096AEF8" w:rsidR="003A51D3" w:rsidRPr="006D140E" w:rsidRDefault="003A51D3" w:rsidP="00F459A1">
            <w:r w:rsidRPr="006D140E">
              <w:t>Sabrina Hom (RPIPC Chair)</w:t>
            </w:r>
          </w:p>
        </w:tc>
      </w:tr>
      <w:tr w:rsidR="003A51D3" w:rsidRPr="006D140E" w14:paraId="5A077EFA" w14:textId="77777777" w:rsidTr="000173B5">
        <w:tc>
          <w:tcPr>
            <w:tcW w:w="720" w:type="dxa"/>
            <w:vAlign w:val="center"/>
          </w:tcPr>
          <w:p w14:paraId="10F5F10F" w14:textId="50DB5952" w:rsidR="003A51D3" w:rsidRPr="006D140E" w:rsidRDefault="003A51D3" w:rsidP="002B6719">
            <w:pPr>
              <w:jc w:val="center"/>
              <w:rPr>
                <w:b/>
                <w:bCs/>
              </w:rPr>
            </w:pPr>
            <w:r w:rsidRPr="006D140E">
              <w:rPr>
                <w:b/>
                <w:bCs/>
              </w:rPr>
              <w:t>P</w:t>
            </w:r>
          </w:p>
        </w:tc>
        <w:tc>
          <w:tcPr>
            <w:tcW w:w="8640" w:type="dxa"/>
            <w:vAlign w:val="center"/>
          </w:tcPr>
          <w:p w14:paraId="462D7C54" w14:textId="591E392B" w:rsidR="003A51D3" w:rsidRPr="006D140E" w:rsidRDefault="003A51D3" w:rsidP="00F459A1">
            <w:r w:rsidRPr="006D140E">
              <w:t>Angela Criscoe (SAPC Chair)</w:t>
            </w:r>
          </w:p>
        </w:tc>
      </w:tr>
      <w:tr w:rsidR="002B6719" w:rsidRPr="006D140E" w14:paraId="3182E023" w14:textId="77777777" w:rsidTr="000173B5">
        <w:tc>
          <w:tcPr>
            <w:tcW w:w="9360" w:type="dxa"/>
            <w:gridSpan w:val="2"/>
            <w:vAlign w:val="center"/>
          </w:tcPr>
          <w:p w14:paraId="5B1E3923" w14:textId="290504BA" w:rsidR="002B6719" w:rsidRPr="006D140E" w:rsidRDefault="002B6719" w:rsidP="00F459A1">
            <w:pPr>
              <w:rPr>
                <w:b/>
                <w:bCs/>
                <w:smallCaps/>
              </w:rPr>
            </w:pPr>
            <w:r w:rsidRPr="006D140E">
              <w:rPr>
                <w:b/>
                <w:bCs/>
                <w:smallCaps/>
              </w:rPr>
              <w:t>Guests</w:t>
            </w:r>
          </w:p>
        </w:tc>
      </w:tr>
      <w:tr w:rsidR="003A51D3" w:rsidRPr="006D140E" w14:paraId="40C6DE9B" w14:textId="77777777" w:rsidTr="000173B5">
        <w:tc>
          <w:tcPr>
            <w:tcW w:w="9360" w:type="dxa"/>
            <w:gridSpan w:val="2"/>
            <w:vAlign w:val="center"/>
          </w:tcPr>
          <w:p w14:paraId="2F35DF5E" w14:textId="3D62B19D" w:rsidR="003A51D3" w:rsidRPr="006D140E" w:rsidRDefault="003A51D3" w:rsidP="00F459A1">
            <w:r w:rsidRPr="006D140E">
              <w:t>Shawn Brooks, Vice-President for Student Life</w:t>
            </w:r>
          </w:p>
        </w:tc>
      </w:tr>
      <w:tr w:rsidR="002B6719" w:rsidRPr="006D140E" w14:paraId="29FD5A44" w14:textId="77777777" w:rsidTr="000173B5">
        <w:tc>
          <w:tcPr>
            <w:tcW w:w="9360" w:type="dxa"/>
            <w:gridSpan w:val="2"/>
            <w:vAlign w:val="center"/>
          </w:tcPr>
          <w:p w14:paraId="6162E523" w14:textId="24587E85" w:rsidR="002B6719" w:rsidRPr="006D140E" w:rsidRDefault="003A51D3" w:rsidP="00F459A1">
            <w:r w:rsidRPr="006D140E">
              <w:t>Christina Smith, APC Vice-Chair</w:t>
            </w:r>
          </w:p>
        </w:tc>
      </w:tr>
      <w:tr w:rsidR="003A51D3" w:rsidRPr="006D140E" w14:paraId="763C2BFD" w14:textId="77777777" w:rsidTr="000173B5">
        <w:tc>
          <w:tcPr>
            <w:tcW w:w="9360" w:type="dxa"/>
            <w:gridSpan w:val="2"/>
            <w:vAlign w:val="center"/>
          </w:tcPr>
          <w:p w14:paraId="791D5B15" w14:textId="24D4C11A" w:rsidR="003A51D3" w:rsidRPr="006D140E" w:rsidRDefault="003A51D3" w:rsidP="00F459A1">
            <w:r w:rsidRPr="006D140E">
              <w:t>Qiana Wilson, General Counsel</w:t>
            </w:r>
            <w:r w:rsidR="004606B0">
              <w:t>, Legal Affairs</w:t>
            </w:r>
          </w:p>
        </w:tc>
      </w:tr>
    </w:tbl>
    <w:p w14:paraId="71822103" w14:textId="28396C9F" w:rsidR="002B6719" w:rsidRPr="006D140E" w:rsidRDefault="002B6719" w:rsidP="002B6719">
      <w:pPr>
        <w:rPr>
          <w:i/>
          <w:sz w:val="20"/>
          <w:szCs w:val="20"/>
        </w:rPr>
      </w:pPr>
    </w:p>
    <w:p w14:paraId="3E08E568" w14:textId="24433FD7" w:rsidR="002B6719" w:rsidRPr="006D140E" w:rsidRDefault="002B6719" w:rsidP="002B6719">
      <w:pPr>
        <w:rPr>
          <w:b/>
          <w:bCs/>
          <w:iCs/>
        </w:rPr>
      </w:pPr>
      <w:r w:rsidRPr="006D140E">
        <w:rPr>
          <w:b/>
          <w:bCs/>
          <w:iCs/>
        </w:rPr>
        <w:t>Legend</w:t>
      </w:r>
    </w:p>
    <w:p w14:paraId="7A6A1233" w14:textId="60106F13" w:rsidR="002B6719" w:rsidRPr="006D140E" w:rsidRDefault="002B6719" w:rsidP="002B6719">
      <w:pPr>
        <w:rPr>
          <w:i/>
        </w:rPr>
      </w:pPr>
      <w:r w:rsidRPr="006D140E">
        <w:rPr>
          <w:i/>
        </w:rPr>
        <w:t>Italicized text denotes information from a previous meeting.</w:t>
      </w:r>
    </w:p>
    <w:p w14:paraId="4418F452" w14:textId="77777777" w:rsidR="002B6719" w:rsidRPr="006D140E" w:rsidRDefault="002B6719" w:rsidP="002B6719">
      <w:r w:rsidRPr="006D140E">
        <w:t>*Denotes new discussion on old business.</w:t>
      </w:r>
    </w:p>
    <w:p w14:paraId="368D712A" w14:textId="7BBEE101" w:rsidR="002B6719" w:rsidRPr="006D140E" w:rsidRDefault="002B6719">
      <w:r w:rsidRPr="006D140E">
        <w:rPr>
          <w:color w:val="FF0000"/>
        </w:rPr>
        <w:t>Red text denotes action or recommendation.</w:t>
      </w:r>
    </w:p>
    <w:p w14:paraId="405ED42E" w14:textId="7428E61A" w:rsidR="002B6719" w:rsidRPr="006D140E" w:rsidRDefault="002B6719">
      <w:r w:rsidRPr="006D140E">
        <w:rPr>
          <w:highlight w:val="yellow"/>
        </w:rPr>
        <w:t>Highlighted text denotes follow-up.</w:t>
      </w:r>
    </w:p>
    <w:p w14:paraId="1885EC61" w14:textId="77777777" w:rsidR="002B6719" w:rsidRPr="006D140E" w:rsidRDefault="002B6719">
      <w:pPr>
        <w:rPr>
          <w:sz w:val="20"/>
        </w:rPr>
      </w:pPr>
    </w:p>
    <w:p w14:paraId="7CFCFDE7" w14:textId="0D383EDC" w:rsidR="008F2BD4" w:rsidRPr="006D140E" w:rsidRDefault="0026653A" w:rsidP="008F2BD4">
      <w:r>
        <w:rPr>
          <w:b/>
          <w:bCs/>
        </w:rPr>
        <w:t xml:space="preserve">I. </w:t>
      </w:r>
      <w:r w:rsidR="008F2BD4" w:rsidRPr="006D140E">
        <w:rPr>
          <w:b/>
          <w:bCs/>
        </w:rPr>
        <w:t xml:space="preserve">Call to Order: </w:t>
      </w:r>
      <w:r w:rsidR="008F2BD4" w:rsidRPr="006D140E">
        <w:t xml:space="preserve">The meeting was called to order at </w:t>
      </w:r>
      <w:r w:rsidR="004E3E6B" w:rsidRPr="006D140E">
        <w:t>3</w:t>
      </w:r>
      <w:r w:rsidR="008F2BD4" w:rsidRPr="006D140E">
        <w:t>:</w:t>
      </w:r>
      <w:r w:rsidR="004E3E6B" w:rsidRPr="006D140E">
        <w:t>3</w:t>
      </w:r>
      <w:r w:rsidR="008F2BD4" w:rsidRPr="006D140E">
        <w:t>0 pm by David Johnson (Chair).</w:t>
      </w:r>
    </w:p>
    <w:p w14:paraId="4BC28398" w14:textId="003F470C" w:rsidR="008F2BD4" w:rsidRPr="006D140E" w:rsidRDefault="008F2BD4" w:rsidP="008F2BD4"/>
    <w:p w14:paraId="16954F42" w14:textId="135D753B" w:rsidR="008F2BD4" w:rsidRPr="006D140E" w:rsidRDefault="0026653A" w:rsidP="008F2BD4">
      <w:pPr>
        <w:rPr>
          <w:color w:val="FF0000"/>
        </w:rPr>
      </w:pPr>
      <w:r>
        <w:rPr>
          <w:b/>
          <w:bCs/>
        </w:rPr>
        <w:t xml:space="preserve">II. </w:t>
      </w:r>
      <w:r w:rsidR="008F2BD4" w:rsidRPr="006D140E">
        <w:rPr>
          <w:b/>
          <w:bCs/>
        </w:rPr>
        <w:t xml:space="preserve">Approval of Agenda: </w:t>
      </w:r>
      <w:r w:rsidR="008F2BD4" w:rsidRPr="006D140E">
        <w:t xml:space="preserve">A </w:t>
      </w:r>
      <w:r w:rsidR="008F2BD4" w:rsidRPr="006D140E">
        <w:rPr>
          <w:b/>
          <w:u w:val="single"/>
        </w:rPr>
        <w:t>Motion</w:t>
      </w:r>
      <w:r w:rsidR="008F2BD4" w:rsidRPr="006D140E">
        <w:t xml:space="preserve"> </w:t>
      </w:r>
      <w:r w:rsidR="008F2BD4" w:rsidRPr="006D140E">
        <w:rPr>
          <w:i/>
        </w:rPr>
        <w:t>to approve the agenda</w:t>
      </w:r>
      <w:r w:rsidR="008F2BD4" w:rsidRPr="006D140E">
        <w:t xml:space="preserve"> was made and seconded. </w:t>
      </w:r>
      <w:r w:rsidR="008F2BD4" w:rsidRPr="006D140E">
        <w:rPr>
          <w:color w:val="FF0000"/>
        </w:rPr>
        <w:t>The agenda was approved as circulated.</w:t>
      </w:r>
    </w:p>
    <w:p w14:paraId="702B3FE8" w14:textId="463FA1F0" w:rsidR="008F2BD4" w:rsidRPr="006D140E" w:rsidRDefault="008F2BD4"/>
    <w:p w14:paraId="12345B5E" w14:textId="31557C6A" w:rsidR="008F2BD4" w:rsidRPr="006D140E" w:rsidRDefault="0026653A">
      <w:r>
        <w:rPr>
          <w:b/>
          <w:bCs/>
        </w:rPr>
        <w:t>II</w:t>
      </w:r>
      <w:r w:rsidR="00A52CFD">
        <w:rPr>
          <w:b/>
          <w:bCs/>
        </w:rPr>
        <w:t>I</w:t>
      </w:r>
      <w:r>
        <w:rPr>
          <w:b/>
          <w:bCs/>
        </w:rPr>
        <w:t xml:space="preserve">. </w:t>
      </w:r>
      <w:r w:rsidR="008F2BD4" w:rsidRPr="006D140E">
        <w:rPr>
          <w:b/>
          <w:bCs/>
        </w:rPr>
        <w:t xml:space="preserve">Approval of Minutes: </w:t>
      </w:r>
      <w:r w:rsidR="0098066E" w:rsidRPr="006D140E">
        <w:t>A draft of the 6 Sep 2019 minutes of the Executive Committee</w:t>
      </w:r>
      <w:r w:rsidR="004E3E6B" w:rsidRPr="006D140E">
        <w:t xml:space="preserve"> with Standing Committee Chairs</w:t>
      </w:r>
      <w:r w:rsidR="0098066E" w:rsidRPr="006D140E">
        <w:t xml:space="preserve"> had been circulated to the meeting attendees via email, and  suggestion</w:t>
      </w:r>
      <w:r w:rsidR="004E3E6B" w:rsidRPr="006D140E">
        <w:t>s</w:t>
      </w:r>
      <w:r w:rsidR="0098066E" w:rsidRPr="006D140E">
        <w:t xml:space="preserve"> to revise the footer</w:t>
      </w:r>
      <w:r w:rsidR="00731D0B" w:rsidRPr="006D140E">
        <w:t xml:space="preserve"> and a typo, to include a supporting document, and to include context regarding confidential reporting laws in the HUB discussion</w:t>
      </w:r>
      <w:r w:rsidR="0098066E" w:rsidRPr="006D140E">
        <w:t xml:space="preserve"> had been offered. </w:t>
      </w:r>
      <w:r w:rsidR="008F2BD4" w:rsidRPr="006D140E">
        <w:t xml:space="preserve">A </w:t>
      </w:r>
      <w:r w:rsidR="008F2BD4" w:rsidRPr="006D140E">
        <w:rPr>
          <w:b/>
          <w:bCs/>
          <w:u w:val="single"/>
        </w:rPr>
        <w:t>Motion</w:t>
      </w:r>
      <w:r w:rsidR="008F2BD4" w:rsidRPr="006D140E">
        <w:t xml:space="preserve"> to approve the </w:t>
      </w:r>
      <w:r w:rsidR="0098066E" w:rsidRPr="006D140E">
        <w:t xml:space="preserve">amended </w:t>
      </w:r>
      <w:r w:rsidR="008F2BD4" w:rsidRPr="006D140E">
        <w:t>minutes was made and seconded.</w:t>
      </w:r>
      <w:r w:rsidR="0098066E" w:rsidRPr="006D140E">
        <w:t xml:space="preserve"> </w:t>
      </w:r>
      <w:r w:rsidR="0098066E" w:rsidRPr="006D140E">
        <w:rPr>
          <w:color w:val="FF0000"/>
        </w:rPr>
        <w:t>The amended minutes were approved.</w:t>
      </w:r>
    </w:p>
    <w:p w14:paraId="2801F2A1" w14:textId="64E30ADC" w:rsidR="008F2BD4" w:rsidRPr="006D140E" w:rsidRDefault="008F2BD4"/>
    <w:p w14:paraId="752490C1" w14:textId="07732444" w:rsidR="00731D0B" w:rsidRPr="006D140E" w:rsidRDefault="0026653A">
      <w:r>
        <w:rPr>
          <w:b/>
          <w:bCs/>
        </w:rPr>
        <w:t>I</w:t>
      </w:r>
      <w:r w:rsidR="00A52CFD">
        <w:rPr>
          <w:b/>
          <w:bCs/>
        </w:rPr>
        <w:t>V</w:t>
      </w:r>
      <w:r>
        <w:rPr>
          <w:b/>
          <w:bCs/>
        </w:rPr>
        <w:t xml:space="preserve">. </w:t>
      </w:r>
      <w:r w:rsidR="00731D0B" w:rsidRPr="006D140E">
        <w:rPr>
          <w:b/>
          <w:bCs/>
        </w:rPr>
        <w:t>Unfinished Business</w:t>
      </w:r>
    </w:p>
    <w:p w14:paraId="77D5C20D" w14:textId="5E82679A" w:rsidR="00731D0B" w:rsidRPr="006D140E" w:rsidRDefault="00731D0B"/>
    <w:p w14:paraId="4BCD7AF4" w14:textId="53B8A3C4" w:rsidR="00731D0B" w:rsidRPr="006D140E" w:rsidRDefault="00731D0B">
      <w:pPr>
        <w:rPr>
          <w:b/>
          <w:bCs/>
        </w:rPr>
      </w:pPr>
      <w:r w:rsidRPr="006D140E">
        <w:rPr>
          <w:b/>
          <w:bCs/>
        </w:rPr>
        <w:t>Update on the HUB —</w:t>
      </w:r>
      <w:r w:rsidR="006D140E" w:rsidRPr="006D140E">
        <w:rPr>
          <w:b/>
          <w:bCs/>
        </w:rPr>
        <w:t xml:space="preserve"> Shawn Brooks and Qiana Wilson</w:t>
      </w:r>
    </w:p>
    <w:p w14:paraId="1AD97BBE" w14:textId="6D6F6852" w:rsidR="00731D0B" w:rsidRPr="006D140E" w:rsidRDefault="00731D0B"/>
    <w:p w14:paraId="660214FD" w14:textId="35F34471" w:rsidR="006D140E" w:rsidRPr="00AB5D86" w:rsidRDefault="006D140E" w:rsidP="006D140E">
      <w:pPr>
        <w:pStyle w:val="ListParagraph"/>
        <w:numPr>
          <w:ilvl w:val="0"/>
          <w:numId w:val="39"/>
        </w:numPr>
        <w:rPr>
          <w:rFonts w:ascii="Times New Roman" w:hAnsi="Times New Roman" w:cs="Times New Roman"/>
          <w:sz w:val="24"/>
          <w:szCs w:val="24"/>
        </w:rPr>
      </w:pPr>
      <w:r w:rsidRPr="004606B0">
        <w:rPr>
          <w:rFonts w:ascii="Times New Roman" w:hAnsi="Times New Roman" w:cs="Times New Roman"/>
          <w:b/>
          <w:bCs/>
          <w:sz w:val="24"/>
          <w:szCs w:val="24"/>
          <w:u w:val="single"/>
        </w:rPr>
        <w:t xml:space="preserve">Shawn Brooks, </w:t>
      </w:r>
      <w:r w:rsidR="004606B0">
        <w:rPr>
          <w:rFonts w:ascii="Times New Roman" w:hAnsi="Times New Roman" w:cs="Times New Roman"/>
          <w:b/>
          <w:bCs/>
          <w:sz w:val="24"/>
          <w:szCs w:val="24"/>
          <w:u w:val="single"/>
        </w:rPr>
        <w:t xml:space="preserve">Vice President for </w:t>
      </w:r>
      <w:r w:rsidRPr="004606B0">
        <w:rPr>
          <w:rFonts w:ascii="Times New Roman" w:hAnsi="Times New Roman" w:cs="Times New Roman"/>
          <w:b/>
          <w:bCs/>
          <w:sz w:val="24"/>
          <w:szCs w:val="24"/>
          <w:u w:val="single"/>
        </w:rPr>
        <w:t>Student Life</w:t>
      </w:r>
      <w:r w:rsidRPr="00AB5D86">
        <w:rPr>
          <w:rFonts w:ascii="Times New Roman" w:hAnsi="Times New Roman" w:cs="Times New Roman"/>
          <w:sz w:val="24"/>
          <w:szCs w:val="24"/>
        </w:rPr>
        <w:t xml:space="preserve">: Several years ago the federal government sent federally funded colleges a “Dear Colleague” letter that provided guidelines on how to treat sexual assault. The directions have changed several times.  Now the USG and DAs have declared that colleges and universities are not in sexual assault response business because doing so has created an uneven playing field of services going to the victim but not accused.  Approximately a year ago, USG began working with Southern Crescent to take over victim services.  The Title IX process has not change; only the victim service process has been discontinued. </w:t>
      </w:r>
      <w:r w:rsidR="00766D0E">
        <w:rPr>
          <w:rFonts w:ascii="Times New Roman" w:hAnsi="Times New Roman" w:cs="Times New Roman"/>
          <w:sz w:val="24"/>
          <w:szCs w:val="24"/>
        </w:rPr>
        <w:t xml:space="preserve"> </w:t>
      </w:r>
      <w:r w:rsidRPr="00AB5D86">
        <w:rPr>
          <w:rFonts w:ascii="Times New Roman" w:hAnsi="Times New Roman" w:cs="Times New Roman"/>
          <w:sz w:val="24"/>
          <w:szCs w:val="24"/>
        </w:rPr>
        <w:t>The HUB is losing confidentiality because an external agency serves victims from A-Z; Bright House is able to perform a wide array of services including forensic exams, advocacy throughout the judicial system process.  There has been confusion in the past because students have referred to Women’s Center employees as advocates, which</w:t>
      </w:r>
      <w:r w:rsidR="00066022">
        <w:rPr>
          <w:rFonts w:ascii="Times New Roman" w:hAnsi="Times New Roman" w:cs="Times New Roman"/>
          <w:sz w:val="24"/>
          <w:szCs w:val="24"/>
        </w:rPr>
        <w:t xml:space="preserve"> is problematic in our campus campus conduct system</w:t>
      </w:r>
      <w:r w:rsidRPr="00AB5D86">
        <w:rPr>
          <w:rFonts w:ascii="Times New Roman" w:hAnsi="Times New Roman" w:cs="Times New Roman"/>
          <w:sz w:val="24"/>
          <w:szCs w:val="24"/>
        </w:rPr>
        <w:t>.  Some resources on campus confidential, such as Counseling Services, remain confidential.  This is a cultural sea change for how GC approaches issues regarding Title IX; but we’ll continue to work with Bright House to do best by our students</w:t>
      </w:r>
    </w:p>
    <w:p w14:paraId="0F61C1EA" w14:textId="0C2F31DD" w:rsidR="006D140E" w:rsidRPr="00766D0E" w:rsidRDefault="006D140E" w:rsidP="006D140E">
      <w:pPr>
        <w:pStyle w:val="ListParagraph"/>
        <w:numPr>
          <w:ilvl w:val="0"/>
          <w:numId w:val="39"/>
        </w:numPr>
        <w:rPr>
          <w:rFonts w:ascii="Times New Roman" w:hAnsi="Times New Roman" w:cs="Times New Roman"/>
          <w:b/>
          <w:bCs/>
          <w:sz w:val="24"/>
          <w:szCs w:val="24"/>
        </w:rPr>
      </w:pPr>
      <w:r w:rsidRPr="004606B0">
        <w:rPr>
          <w:rFonts w:ascii="Times New Roman" w:hAnsi="Times New Roman" w:cs="Times New Roman"/>
          <w:b/>
          <w:bCs/>
          <w:sz w:val="24"/>
          <w:szCs w:val="24"/>
          <w:u w:val="single"/>
        </w:rPr>
        <w:t xml:space="preserve">Qiana Wilson, </w:t>
      </w:r>
      <w:r w:rsidR="004606B0">
        <w:rPr>
          <w:rFonts w:ascii="Times New Roman" w:hAnsi="Times New Roman" w:cs="Times New Roman"/>
          <w:b/>
          <w:bCs/>
          <w:sz w:val="24"/>
          <w:szCs w:val="24"/>
          <w:u w:val="single"/>
        </w:rPr>
        <w:t xml:space="preserve">General Counsel, </w:t>
      </w:r>
      <w:r w:rsidRPr="004606B0">
        <w:rPr>
          <w:rFonts w:ascii="Times New Roman" w:hAnsi="Times New Roman" w:cs="Times New Roman"/>
          <w:b/>
          <w:bCs/>
          <w:sz w:val="24"/>
          <w:szCs w:val="24"/>
          <w:u w:val="single"/>
        </w:rPr>
        <w:t>Legal Affairs</w:t>
      </w:r>
      <w:r w:rsidRPr="00AB5D86">
        <w:rPr>
          <w:rFonts w:ascii="Times New Roman" w:hAnsi="Times New Roman" w:cs="Times New Roman"/>
          <w:sz w:val="24"/>
          <w:szCs w:val="24"/>
        </w:rPr>
        <w:t xml:space="preserve">: </w:t>
      </w:r>
      <w:r w:rsidR="00766D0E">
        <w:rPr>
          <w:rFonts w:ascii="Times New Roman" w:hAnsi="Times New Roman" w:cs="Times New Roman"/>
          <w:sz w:val="24"/>
          <w:szCs w:val="24"/>
        </w:rPr>
        <w:t xml:space="preserve">From the legal perspective, offering victim services is a </w:t>
      </w:r>
      <w:r w:rsidR="00AB5D86" w:rsidRPr="00AB5D86">
        <w:rPr>
          <w:rFonts w:ascii="Times New Roman" w:hAnsi="Times New Roman" w:cs="Times New Roman"/>
          <w:sz w:val="24"/>
          <w:szCs w:val="24"/>
        </w:rPr>
        <w:t>due process issue</w:t>
      </w:r>
      <w:r w:rsidR="00766D0E">
        <w:rPr>
          <w:rFonts w:ascii="Times New Roman" w:hAnsi="Times New Roman" w:cs="Times New Roman"/>
          <w:sz w:val="24"/>
          <w:szCs w:val="24"/>
        </w:rPr>
        <w:t>.  W</w:t>
      </w:r>
      <w:r w:rsidR="00AB5D86" w:rsidRPr="00AB5D86">
        <w:rPr>
          <w:rFonts w:ascii="Times New Roman" w:hAnsi="Times New Roman" w:cs="Times New Roman"/>
          <w:sz w:val="24"/>
          <w:szCs w:val="24"/>
        </w:rPr>
        <w:t>e’re required to provide services to all of our students</w:t>
      </w:r>
      <w:r w:rsidR="00766D0E">
        <w:rPr>
          <w:rFonts w:ascii="Times New Roman" w:hAnsi="Times New Roman" w:cs="Times New Roman"/>
          <w:sz w:val="24"/>
          <w:szCs w:val="24"/>
        </w:rPr>
        <w:t>.  There have been growing</w:t>
      </w:r>
      <w:r w:rsidR="00AB5D86" w:rsidRPr="00AB5D86">
        <w:rPr>
          <w:rFonts w:ascii="Times New Roman" w:hAnsi="Times New Roman" w:cs="Times New Roman"/>
          <w:sz w:val="24"/>
          <w:szCs w:val="24"/>
        </w:rPr>
        <w:t xml:space="preserve"> concerns from </w:t>
      </w:r>
      <w:r w:rsidR="00766D0E">
        <w:rPr>
          <w:rFonts w:ascii="Times New Roman" w:hAnsi="Times New Roman" w:cs="Times New Roman"/>
          <w:sz w:val="24"/>
          <w:szCs w:val="24"/>
        </w:rPr>
        <w:t xml:space="preserve">the </w:t>
      </w:r>
      <w:r w:rsidR="00AB5D86" w:rsidRPr="00AB5D86">
        <w:rPr>
          <w:rFonts w:ascii="Times New Roman" w:hAnsi="Times New Roman" w:cs="Times New Roman"/>
          <w:sz w:val="24"/>
          <w:szCs w:val="24"/>
        </w:rPr>
        <w:t xml:space="preserve">state legislature and parents of respondents </w:t>
      </w:r>
      <w:r w:rsidR="00766D0E">
        <w:rPr>
          <w:rFonts w:ascii="Times New Roman" w:hAnsi="Times New Roman" w:cs="Times New Roman"/>
          <w:sz w:val="24"/>
          <w:szCs w:val="24"/>
        </w:rPr>
        <w:t xml:space="preserve">that students accused of sexual assault are </w:t>
      </w:r>
      <w:r w:rsidR="00AB5D86" w:rsidRPr="00AB5D86">
        <w:rPr>
          <w:rFonts w:ascii="Times New Roman" w:hAnsi="Times New Roman" w:cs="Times New Roman"/>
          <w:sz w:val="24"/>
          <w:szCs w:val="24"/>
        </w:rPr>
        <w:t>not give</w:t>
      </w:r>
      <w:r w:rsidR="00766D0E">
        <w:rPr>
          <w:rFonts w:ascii="Times New Roman" w:hAnsi="Times New Roman" w:cs="Times New Roman"/>
          <w:sz w:val="24"/>
          <w:szCs w:val="24"/>
        </w:rPr>
        <w:t>n</w:t>
      </w:r>
      <w:r w:rsidR="00AB5D86" w:rsidRPr="00AB5D86">
        <w:rPr>
          <w:rFonts w:ascii="Times New Roman" w:hAnsi="Times New Roman" w:cs="Times New Roman"/>
          <w:sz w:val="24"/>
          <w:szCs w:val="24"/>
        </w:rPr>
        <w:t xml:space="preserve"> services</w:t>
      </w:r>
      <w:r w:rsidR="00766D0E">
        <w:rPr>
          <w:rFonts w:ascii="Times New Roman" w:hAnsi="Times New Roman" w:cs="Times New Roman"/>
          <w:sz w:val="24"/>
          <w:szCs w:val="24"/>
        </w:rPr>
        <w:t>.  P</w:t>
      </w:r>
      <w:r w:rsidR="00AB5D86" w:rsidRPr="00AB5D86">
        <w:rPr>
          <w:rFonts w:ascii="Times New Roman" w:hAnsi="Times New Roman" w:cs="Times New Roman"/>
          <w:sz w:val="24"/>
          <w:szCs w:val="24"/>
        </w:rPr>
        <w:t xml:space="preserve">arents </w:t>
      </w:r>
      <w:r w:rsidR="00766D0E">
        <w:rPr>
          <w:rFonts w:ascii="Times New Roman" w:hAnsi="Times New Roman" w:cs="Times New Roman"/>
          <w:sz w:val="24"/>
          <w:szCs w:val="24"/>
        </w:rPr>
        <w:t xml:space="preserve">have </w:t>
      </w:r>
      <w:r w:rsidR="00AB5D86" w:rsidRPr="00AB5D86">
        <w:rPr>
          <w:rFonts w:ascii="Times New Roman" w:hAnsi="Times New Roman" w:cs="Times New Roman"/>
          <w:sz w:val="24"/>
          <w:szCs w:val="24"/>
        </w:rPr>
        <w:t>ask</w:t>
      </w:r>
      <w:r w:rsidR="00766D0E">
        <w:rPr>
          <w:rFonts w:ascii="Times New Roman" w:hAnsi="Times New Roman" w:cs="Times New Roman"/>
          <w:sz w:val="24"/>
          <w:szCs w:val="24"/>
        </w:rPr>
        <w:t>ed</w:t>
      </w:r>
      <w:r w:rsidR="00AB5D86" w:rsidRPr="00AB5D86">
        <w:rPr>
          <w:rFonts w:ascii="Times New Roman" w:hAnsi="Times New Roman" w:cs="Times New Roman"/>
          <w:sz w:val="24"/>
          <w:szCs w:val="24"/>
        </w:rPr>
        <w:t xml:space="preserve"> why </w:t>
      </w:r>
      <w:r w:rsidR="00766D0E">
        <w:rPr>
          <w:rFonts w:ascii="Times New Roman" w:hAnsi="Times New Roman" w:cs="Times New Roman"/>
          <w:sz w:val="24"/>
          <w:szCs w:val="24"/>
        </w:rPr>
        <w:t xml:space="preserve">the </w:t>
      </w:r>
      <w:r w:rsidR="00AB5D86" w:rsidRPr="00AB5D86">
        <w:rPr>
          <w:rFonts w:ascii="Times New Roman" w:hAnsi="Times New Roman" w:cs="Times New Roman"/>
          <w:sz w:val="24"/>
          <w:szCs w:val="24"/>
        </w:rPr>
        <w:t>complainant get</w:t>
      </w:r>
      <w:r w:rsidR="00766D0E">
        <w:rPr>
          <w:rFonts w:ascii="Times New Roman" w:hAnsi="Times New Roman" w:cs="Times New Roman"/>
          <w:sz w:val="24"/>
          <w:szCs w:val="24"/>
        </w:rPr>
        <w:t>s</w:t>
      </w:r>
      <w:r w:rsidR="00AB5D86" w:rsidRPr="00AB5D86">
        <w:rPr>
          <w:rFonts w:ascii="Times New Roman" w:hAnsi="Times New Roman" w:cs="Times New Roman"/>
          <w:sz w:val="24"/>
          <w:szCs w:val="24"/>
        </w:rPr>
        <w:t xml:space="preserve"> GC employees to help</w:t>
      </w:r>
      <w:r w:rsidR="00766D0E">
        <w:rPr>
          <w:rFonts w:ascii="Times New Roman" w:hAnsi="Times New Roman" w:cs="Times New Roman"/>
          <w:sz w:val="24"/>
          <w:szCs w:val="24"/>
        </w:rPr>
        <w:t xml:space="preserve"> them.  W</w:t>
      </w:r>
      <w:r w:rsidR="00AB5D86" w:rsidRPr="00AB5D86">
        <w:rPr>
          <w:rFonts w:ascii="Times New Roman" w:hAnsi="Times New Roman" w:cs="Times New Roman"/>
          <w:sz w:val="24"/>
          <w:szCs w:val="24"/>
        </w:rPr>
        <w:t xml:space="preserve">ith budget cuts, </w:t>
      </w:r>
      <w:r w:rsidR="00766D0E">
        <w:rPr>
          <w:rFonts w:ascii="Times New Roman" w:hAnsi="Times New Roman" w:cs="Times New Roman"/>
          <w:sz w:val="24"/>
          <w:szCs w:val="24"/>
        </w:rPr>
        <w:t xml:space="preserve">we </w:t>
      </w:r>
      <w:r w:rsidR="00AB5D86" w:rsidRPr="00AB5D86">
        <w:rPr>
          <w:rFonts w:ascii="Times New Roman" w:hAnsi="Times New Roman" w:cs="Times New Roman"/>
          <w:sz w:val="24"/>
          <w:szCs w:val="24"/>
        </w:rPr>
        <w:t xml:space="preserve">can’t afford </w:t>
      </w:r>
      <w:r w:rsidR="00766D0E">
        <w:rPr>
          <w:rFonts w:ascii="Times New Roman" w:hAnsi="Times New Roman" w:cs="Times New Roman"/>
          <w:sz w:val="24"/>
          <w:szCs w:val="24"/>
        </w:rPr>
        <w:t xml:space="preserve">a </w:t>
      </w:r>
      <w:r w:rsidR="00AB5D86" w:rsidRPr="00AB5D86">
        <w:rPr>
          <w:rFonts w:ascii="Times New Roman" w:hAnsi="Times New Roman" w:cs="Times New Roman"/>
          <w:sz w:val="24"/>
          <w:szCs w:val="24"/>
        </w:rPr>
        <w:t xml:space="preserve">respondent center; now </w:t>
      </w:r>
      <w:r w:rsidR="00766D0E">
        <w:rPr>
          <w:rFonts w:ascii="Times New Roman" w:hAnsi="Times New Roman" w:cs="Times New Roman"/>
          <w:sz w:val="24"/>
          <w:szCs w:val="24"/>
        </w:rPr>
        <w:t>all services are</w:t>
      </w:r>
      <w:r w:rsidR="00AB5D86" w:rsidRPr="00AB5D86">
        <w:rPr>
          <w:rFonts w:ascii="Times New Roman" w:hAnsi="Times New Roman" w:cs="Times New Roman"/>
          <w:sz w:val="24"/>
          <w:szCs w:val="24"/>
        </w:rPr>
        <w:t xml:space="preserve"> in one place</w:t>
      </w:r>
      <w:r w:rsidR="00766D0E">
        <w:rPr>
          <w:rFonts w:ascii="Times New Roman" w:hAnsi="Times New Roman" w:cs="Times New Roman"/>
          <w:sz w:val="24"/>
          <w:szCs w:val="24"/>
        </w:rPr>
        <w:t xml:space="preserve">; for example, the </w:t>
      </w:r>
      <w:r w:rsidR="00AB5D86" w:rsidRPr="00AB5D86">
        <w:rPr>
          <w:rFonts w:ascii="Times New Roman" w:hAnsi="Times New Roman" w:cs="Times New Roman"/>
          <w:sz w:val="24"/>
          <w:szCs w:val="24"/>
        </w:rPr>
        <w:t>nurse provides sexual assault exams on site</w:t>
      </w:r>
      <w:r w:rsidR="00766D0E">
        <w:rPr>
          <w:rFonts w:ascii="Times New Roman" w:hAnsi="Times New Roman" w:cs="Times New Roman"/>
          <w:sz w:val="24"/>
          <w:szCs w:val="24"/>
        </w:rPr>
        <w:t>.</w:t>
      </w:r>
    </w:p>
    <w:p w14:paraId="7CC553CC" w14:textId="0314780F" w:rsidR="00451CEE" w:rsidRPr="00451CEE" w:rsidRDefault="0054541F" w:rsidP="0054541F">
      <w:pPr>
        <w:pStyle w:val="ListParagraph"/>
        <w:numPr>
          <w:ilvl w:val="0"/>
          <w:numId w:val="39"/>
        </w:numPr>
        <w:rPr>
          <w:rFonts w:ascii="Times New Roman" w:hAnsi="Times New Roman" w:cs="Times New Roman"/>
          <w:b/>
          <w:bCs/>
          <w:sz w:val="24"/>
          <w:szCs w:val="24"/>
        </w:rPr>
      </w:pPr>
      <w:r w:rsidRPr="004606B0">
        <w:rPr>
          <w:rFonts w:ascii="Times New Roman" w:hAnsi="Times New Roman" w:cs="Times New Roman"/>
          <w:b/>
          <w:bCs/>
          <w:sz w:val="24"/>
          <w:szCs w:val="24"/>
          <w:u w:val="single"/>
        </w:rPr>
        <w:t>ECUS-SCC Discussion</w:t>
      </w:r>
      <w:r w:rsidR="00766D0E">
        <w:rPr>
          <w:rFonts w:ascii="Times New Roman" w:hAnsi="Times New Roman" w:cs="Times New Roman"/>
          <w:b/>
          <w:bCs/>
          <w:sz w:val="24"/>
          <w:szCs w:val="24"/>
        </w:rPr>
        <w:t xml:space="preserve">: </w:t>
      </w:r>
      <w:r w:rsidR="00766D0E" w:rsidRPr="00766D0E">
        <w:rPr>
          <w:rFonts w:ascii="Times New Roman" w:hAnsi="Times New Roman" w:cs="Times New Roman"/>
          <w:sz w:val="24"/>
          <w:szCs w:val="24"/>
        </w:rPr>
        <w:t xml:space="preserve">Q: What are the judicial panels going to look like?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A: Anyone can be an advisor.  Usually respondents will have their attorney and complainants will have their Bright House advocate.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Q: How is that different from before?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A: Issue is equal access, both respondent and complainant are entitled to the same resources.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Q: This seems like an overcorrection, and federal guidelines indicate the process.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A: Support groups are not going away.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Q: No one can participate in a support group unless they give up confidentiality.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 xml:space="preserve">Q: Why take away confidentiality of the Women’s Center? Are students aware that the center is no longer a confidential reporting site? </w:t>
      </w:r>
      <w:r w:rsidR="001F65CC">
        <w:rPr>
          <w:rFonts w:ascii="Times New Roman" w:hAnsi="Times New Roman" w:cs="Times New Roman"/>
          <w:sz w:val="24"/>
          <w:szCs w:val="24"/>
        </w:rPr>
        <w:t xml:space="preserve"> </w:t>
      </w:r>
      <w:r w:rsidR="00766D0E" w:rsidRPr="00766D0E">
        <w:rPr>
          <w:rFonts w:ascii="Times New Roman" w:hAnsi="Times New Roman" w:cs="Times New Roman"/>
          <w:sz w:val="24"/>
          <w:szCs w:val="24"/>
        </w:rPr>
        <w:t>A: We are only required to give confidentiality to those who have privilege under the law, such as Counseling Services. USG Sexual Misconduct Policy allows GC to decide who we want to be a confidential reporter. We</w:t>
      </w:r>
      <w:r w:rsidR="0093775D">
        <w:rPr>
          <w:rFonts w:ascii="Times New Roman" w:hAnsi="Times New Roman" w:cs="Times New Roman"/>
          <w:sz w:val="24"/>
          <w:szCs w:val="24"/>
        </w:rPr>
        <w:t xml:space="preserve"> could make Academic Affairs a confidential reporting site. We received 11 complaints in the last month, compared to 22 last years. As complainant, we allow you to choose whether or not you move through Title IX.  USG is getting sued, so all institutions in the system need to have processes and policies that treat all students with the same services.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Q: What happens when a respondent goes to Bright House? Respondents often feel like victims.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A: Bright House is not a state entity; I don’t know, but I will check.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Q: Bright House is funded by a grant; is it renewable?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A: The </w:t>
      </w:r>
      <w:r w:rsidR="0093775D">
        <w:rPr>
          <w:rFonts w:ascii="Times New Roman" w:hAnsi="Times New Roman" w:cs="Times New Roman"/>
          <w:sz w:val="24"/>
          <w:szCs w:val="24"/>
        </w:rPr>
        <w:lastRenderedPageBreak/>
        <w:t xml:space="preserve">DA is advocating for community service like Bright House.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Q: We have a responsibility to our students for transportation and location.  Bright House will be located behind Central State.  Will students be taken to Central State/Bright House in a police car?  Q: Bright House will serve 8 counties. How will it serve our students and 8 counties?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What’s the capacity?  Q: Are we responsible for Bright House’s ability to serve our students?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A: Bright House shows up as a list of resources. It has no direct accountability to us; however, we are part of Baldwin County, and we work with the DA and Bright House.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Q: We don’t provide students emergency room service.  Is this like an emergency room?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 xml:space="preserve">A: </w:t>
      </w:r>
      <w:r w:rsidR="001F65CC">
        <w:rPr>
          <w:rFonts w:ascii="Times New Roman" w:hAnsi="Times New Roman" w:cs="Times New Roman"/>
          <w:sz w:val="24"/>
          <w:szCs w:val="24"/>
        </w:rPr>
        <w:t>An emergency room is</w:t>
      </w:r>
      <w:r w:rsidR="0093775D">
        <w:rPr>
          <w:rFonts w:ascii="Times New Roman" w:hAnsi="Times New Roman" w:cs="Times New Roman"/>
          <w:sz w:val="24"/>
          <w:szCs w:val="24"/>
        </w:rPr>
        <w:t xml:space="preserve"> a great analogy. </w:t>
      </w:r>
      <w:r w:rsidR="001F65CC">
        <w:rPr>
          <w:rFonts w:ascii="Times New Roman" w:hAnsi="Times New Roman" w:cs="Times New Roman"/>
          <w:sz w:val="24"/>
          <w:szCs w:val="24"/>
        </w:rPr>
        <w:t xml:space="preserve"> </w:t>
      </w:r>
      <w:r w:rsidR="0093775D">
        <w:rPr>
          <w:rFonts w:ascii="Times New Roman" w:hAnsi="Times New Roman" w:cs="Times New Roman"/>
          <w:sz w:val="24"/>
          <w:szCs w:val="24"/>
        </w:rPr>
        <w:t>Q: Student will pick their advisor.  Students in tough situation go to faculty that they really trust.  Are the</w:t>
      </w:r>
      <w:r w:rsidR="001F65CC">
        <w:rPr>
          <w:rFonts w:ascii="Times New Roman" w:hAnsi="Times New Roman" w:cs="Times New Roman"/>
          <w:sz w:val="24"/>
          <w:szCs w:val="24"/>
        </w:rPr>
        <w:t>re</w:t>
      </w:r>
      <w:r w:rsidR="0093775D">
        <w:rPr>
          <w:rFonts w:ascii="Times New Roman" w:hAnsi="Times New Roman" w:cs="Times New Roman"/>
          <w:sz w:val="24"/>
          <w:szCs w:val="24"/>
        </w:rPr>
        <w:t xml:space="preserve"> any repercussions for faculty saying no?  </w:t>
      </w:r>
      <w:r w:rsidR="00685E35">
        <w:rPr>
          <w:rFonts w:ascii="Times New Roman" w:hAnsi="Times New Roman" w:cs="Times New Roman"/>
          <w:sz w:val="24"/>
          <w:szCs w:val="24"/>
        </w:rPr>
        <w:t>A: There are no repercussions.  Faculty should be mindful of conflicts of interest.  One time, a faculty member had both the complainant and respondent</w:t>
      </w:r>
      <w:r w:rsidR="00685E35" w:rsidRPr="0054541F">
        <w:rPr>
          <w:rFonts w:ascii="Times New Roman" w:hAnsi="Times New Roman" w:cs="Times New Roman"/>
          <w:sz w:val="24"/>
          <w:szCs w:val="24"/>
        </w:rPr>
        <w:t xml:space="preserve"> in class.  Many of the complainants and respondents are in the same academic program.</w:t>
      </w:r>
    </w:p>
    <w:p w14:paraId="1A84EA81" w14:textId="5706C9A1" w:rsidR="00685E35" w:rsidRPr="0054541F" w:rsidRDefault="001F65CC" w:rsidP="00451CEE">
      <w:pPr>
        <w:pStyle w:val="ListParagraph"/>
        <w:numPr>
          <w:ilvl w:val="1"/>
          <w:numId w:val="39"/>
        </w:numPr>
        <w:rPr>
          <w:rFonts w:ascii="Times New Roman" w:hAnsi="Times New Roman" w:cs="Times New Roman"/>
          <w:b/>
          <w:bCs/>
          <w:sz w:val="24"/>
          <w:szCs w:val="24"/>
        </w:rPr>
      </w:pPr>
      <w:r w:rsidRPr="0054541F">
        <w:rPr>
          <w:rFonts w:ascii="Times New Roman" w:hAnsi="Times New Roman" w:cs="Times New Roman"/>
          <w:sz w:val="24"/>
          <w:szCs w:val="24"/>
          <w:highlight w:val="yellow"/>
        </w:rPr>
        <w:t>David Johnson asked committee members to send their list of questions, even those questions that were asked at this meeting, to Sadie Simmons, Title IX Coordinator.</w:t>
      </w:r>
      <w:r>
        <w:rPr>
          <w:rFonts w:ascii="Times New Roman" w:hAnsi="Times New Roman" w:cs="Times New Roman"/>
          <w:sz w:val="24"/>
          <w:szCs w:val="24"/>
          <w:highlight w:val="yellow"/>
        </w:rPr>
        <w:t xml:space="preserve">  </w:t>
      </w:r>
      <w:r w:rsidR="00685E35" w:rsidRPr="0054541F">
        <w:rPr>
          <w:rFonts w:ascii="Times New Roman" w:hAnsi="Times New Roman" w:cs="Times New Roman"/>
          <w:sz w:val="24"/>
          <w:szCs w:val="24"/>
          <w:highlight w:val="yellow"/>
        </w:rPr>
        <w:t xml:space="preserve">David Johnson </w:t>
      </w:r>
      <w:r>
        <w:rPr>
          <w:rFonts w:ascii="Times New Roman" w:hAnsi="Times New Roman" w:cs="Times New Roman"/>
          <w:sz w:val="24"/>
          <w:szCs w:val="24"/>
          <w:highlight w:val="yellow"/>
        </w:rPr>
        <w:t xml:space="preserve">will </w:t>
      </w:r>
      <w:r w:rsidR="00685E35" w:rsidRPr="0054541F">
        <w:rPr>
          <w:rFonts w:ascii="Times New Roman" w:hAnsi="Times New Roman" w:cs="Times New Roman"/>
          <w:sz w:val="24"/>
          <w:szCs w:val="24"/>
          <w:highlight w:val="yellow"/>
        </w:rPr>
        <w:t>invite Shawn Brooks and Qiana Wilson to an upcoming meeting of University Senate to give a short presentation.</w:t>
      </w:r>
    </w:p>
    <w:p w14:paraId="3F5565C3" w14:textId="6742F9E6" w:rsidR="0098066E" w:rsidRPr="00FA3B17" w:rsidRDefault="0026653A">
      <w:pPr>
        <w:rPr>
          <w:b/>
          <w:bCs/>
        </w:rPr>
      </w:pPr>
      <w:r>
        <w:rPr>
          <w:b/>
          <w:bCs/>
        </w:rPr>
        <w:t xml:space="preserve">V. </w:t>
      </w:r>
      <w:r w:rsidR="0098066E" w:rsidRPr="00FA3B17">
        <w:rPr>
          <w:b/>
          <w:bCs/>
        </w:rPr>
        <w:t>Reports</w:t>
      </w:r>
    </w:p>
    <w:p w14:paraId="3AB726E6" w14:textId="1F5C2012" w:rsidR="0098066E" w:rsidRPr="00FA3B17" w:rsidRDefault="0098066E">
      <w:pPr>
        <w:rPr>
          <w:b/>
          <w:bCs/>
        </w:rPr>
      </w:pPr>
    </w:p>
    <w:p w14:paraId="2C471633" w14:textId="41536046" w:rsidR="0098066E" w:rsidRPr="00FA3B17" w:rsidRDefault="00937530">
      <w:pPr>
        <w:rPr>
          <w:b/>
          <w:bCs/>
        </w:rPr>
      </w:pPr>
      <w:r w:rsidRPr="00FA3B17">
        <w:rPr>
          <w:b/>
          <w:bCs/>
        </w:rPr>
        <w:t>Student Affairs Policy Committee</w:t>
      </w:r>
      <w:r w:rsidR="005836AA">
        <w:rPr>
          <w:b/>
          <w:bCs/>
        </w:rPr>
        <w:t xml:space="preserve"> (SAPC)</w:t>
      </w:r>
      <w:r w:rsidRPr="00FA3B17">
        <w:rPr>
          <w:b/>
          <w:bCs/>
        </w:rPr>
        <w:t xml:space="preserve"> </w:t>
      </w:r>
      <w:r w:rsidR="00E2138B" w:rsidRPr="00FA3B17">
        <w:rPr>
          <w:b/>
          <w:bCs/>
        </w:rPr>
        <w:t xml:space="preserve">— </w:t>
      </w:r>
      <w:r w:rsidR="00EC6CB3">
        <w:rPr>
          <w:b/>
          <w:bCs/>
        </w:rPr>
        <w:t xml:space="preserve">Chair </w:t>
      </w:r>
      <w:r w:rsidRPr="00FA3B17">
        <w:rPr>
          <w:b/>
          <w:bCs/>
        </w:rPr>
        <w:t>Angela Criscoe</w:t>
      </w:r>
    </w:p>
    <w:p w14:paraId="0C03D0AA" w14:textId="6AA5AA90" w:rsidR="00937530" w:rsidRPr="00FA3B17" w:rsidRDefault="00937530">
      <w:pPr>
        <w:rPr>
          <w:b/>
          <w:bCs/>
        </w:rPr>
      </w:pPr>
    </w:p>
    <w:p w14:paraId="6F3FE0E2" w14:textId="18BF6BDA" w:rsidR="00FA3B17" w:rsidRPr="00FA3B17" w:rsidRDefault="00FA3B17" w:rsidP="00FA3B17">
      <w:pPr>
        <w:pStyle w:val="xmsonormal"/>
        <w:numPr>
          <w:ilvl w:val="0"/>
          <w:numId w:val="40"/>
        </w:numPr>
        <w:shd w:val="clear" w:color="auto" w:fill="FFFFFF"/>
        <w:spacing w:before="0" w:beforeAutospacing="0" w:after="0" w:afterAutospacing="0"/>
        <w:textAlignment w:val="baseline"/>
        <w:rPr>
          <w:color w:val="000000" w:themeColor="text1"/>
        </w:rPr>
      </w:pPr>
      <w:r w:rsidRPr="004606B0">
        <w:rPr>
          <w:b/>
          <w:bCs/>
          <w:color w:val="000000" w:themeColor="text1"/>
          <w:u w:val="single"/>
          <w:bdr w:val="none" w:sz="0" w:space="0" w:color="auto" w:frame="1"/>
        </w:rPr>
        <w:t>Non-discrimination Clause</w:t>
      </w:r>
      <w:r w:rsidRPr="00FA3B17">
        <w:rPr>
          <w:b/>
          <w:bCs/>
          <w:color w:val="000000" w:themeColor="text1"/>
          <w:bdr w:val="none" w:sz="0" w:space="0" w:color="auto" w:frame="1"/>
        </w:rPr>
        <w:t>: </w:t>
      </w:r>
      <w:r w:rsidRPr="00FA3B17">
        <w:rPr>
          <w:color w:val="000000" w:themeColor="text1"/>
          <w:bdr w:val="none" w:sz="0" w:space="0" w:color="auto" w:frame="1"/>
        </w:rPr>
        <w:t>Angela Criscoe spoke with Qiana Wilson prior to the meeting. Qiana stated that the USG was still reviewing options for a standardized statement.  She mentioned that USG did not follow process and that she has a phone call scheduled to further discuss the status and progress of the standardized statement. The committee agreed to move forward with updating the clause. We read the Georgia College Non-</w:t>
      </w:r>
      <w:r>
        <w:rPr>
          <w:color w:val="000000" w:themeColor="text1"/>
          <w:bdr w:val="none" w:sz="0" w:space="0" w:color="auto" w:frame="1"/>
        </w:rPr>
        <w:t>D</w:t>
      </w:r>
      <w:r w:rsidRPr="00FA3B17">
        <w:rPr>
          <w:color w:val="000000" w:themeColor="text1"/>
          <w:bdr w:val="none" w:sz="0" w:space="0" w:color="auto" w:frame="1"/>
        </w:rPr>
        <w:t>iscrimination clause. Discussion of changes resulted in a crafted non-discrimination clause that is in line with SGA’s non-discrimination clause</w:t>
      </w:r>
      <w:r>
        <w:rPr>
          <w:color w:val="000000" w:themeColor="text1"/>
          <w:bdr w:val="none" w:sz="0" w:space="0" w:color="auto" w:frame="1"/>
        </w:rPr>
        <w:t xml:space="preserve">. </w:t>
      </w:r>
      <w:r w:rsidRPr="00FA3B17">
        <w:rPr>
          <w:color w:val="000000" w:themeColor="text1"/>
          <w:bdr w:val="none" w:sz="0" w:space="0" w:color="auto" w:frame="1"/>
        </w:rPr>
        <w:t>We reviewed supporting documents.  The committee voted on the rewritten statement and all approved. The committee is moving forward with a motion to bring the non-discrimination clause to Senate, preferably to be addressed at the October 18</w:t>
      </w:r>
      <w:r w:rsidRPr="00FA3B17">
        <w:rPr>
          <w:color w:val="000000" w:themeColor="text1"/>
          <w:bdr w:val="none" w:sz="0" w:space="0" w:color="auto" w:frame="1"/>
          <w:vertAlign w:val="superscript"/>
        </w:rPr>
        <w:t>th</w:t>
      </w:r>
      <w:r w:rsidRPr="00FA3B17">
        <w:rPr>
          <w:color w:val="000000" w:themeColor="text1"/>
          <w:bdr w:val="none" w:sz="0" w:space="0" w:color="auto" w:frame="1"/>
        </w:rPr>
        <w:t xml:space="preserve"> meeting. </w:t>
      </w:r>
    </w:p>
    <w:p w14:paraId="00A33C0F" w14:textId="4876DD9A" w:rsidR="00FA3B17" w:rsidRPr="00FA3B17" w:rsidRDefault="00FA3B17" w:rsidP="00FA3B17">
      <w:pPr>
        <w:pStyle w:val="xmsonormal"/>
        <w:numPr>
          <w:ilvl w:val="0"/>
          <w:numId w:val="40"/>
        </w:numPr>
        <w:shd w:val="clear" w:color="auto" w:fill="FFFFFF"/>
        <w:spacing w:before="0" w:beforeAutospacing="0" w:after="0" w:afterAutospacing="0"/>
        <w:textAlignment w:val="baseline"/>
        <w:rPr>
          <w:color w:val="000000" w:themeColor="text1"/>
        </w:rPr>
      </w:pPr>
      <w:r w:rsidRPr="004606B0">
        <w:rPr>
          <w:b/>
          <w:bCs/>
          <w:color w:val="000000" w:themeColor="text1"/>
          <w:u w:val="single"/>
          <w:bdr w:val="none" w:sz="0" w:space="0" w:color="auto" w:frame="1"/>
        </w:rPr>
        <w:t>The HUB</w:t>
      </w:r>
      <w:r w:rsidRPr="00FA3B17">
        <w:rPr>
          <w:b/>
          <w:bCs/>
          <w:color w:val="000000" w:themeColor="text1"/>
          <w:bdr w:val="none" w:sz="0" w:space="0" w:color="auto" w:frame="1"/>
        </w:rPr>
        <w:t>:</w:t>
      </w:r>
      <w:r w:rsidRPr="00FA3B17">
        <w:rPr>
          <w:color w:val="000000" w:themeColor="text1"/>
          <w:bdr w:val="none" w:sz="0" w:space="0" w:color="auto" w:frame="1"/>
        </w:rPr>
        <w:t> Melissa Gerrior, Emily Brookshire, and Peter Pendleton were guests at the meeting. They answered questions to help us better understand their role, the role of the Bright House, and the steps moving forward.  Tom Miles was also present and was able to address concerns from an administrative perspective. Funding is still a concern and we have invited them back to our next meeting for further discussion about funding their efforts.</w:t>
      </w:r>
    </w:p>
    <w:p w14:paraId="132033DD" w14:textId="3F123E2F" w:rsidR="00FA3B17" w:rsidRDefault="0054541F" w:rsidP="00FA3B17">
      <w:pPr>
        <w:pStyle w:val="xmsonormal"/>
        <w:numPr>
          <w:ilvl w:val="0"/>
          <w:numId w:val="40"/>
        </w:numPr>
        <w:shd w:val="clear" w:color="auto" w:fill="FFFFFF"/>
        <w:spacing w:before="0" w:beforeAutospacing="0" w:after="0" w:afterAutospacing="0"/>
        <w:textAlignment w:val="baseline"/>
        <w:rPr>
          <w:color w:val="000000" w:themeColor="text1"/>
        </w:rPr>
      </w:pPr>
      <w:r w:rsidRPr="004606B0">
        <w:rPr>
          <w:b/>
          <w:bCs/>
          <w:color w:val="000000" w:themeColor="text1"/>
          <w:u w:val="single"/>
        </w:rPr>
        <w:t>ECUS-SCC Discussion</w:t>
      </w:r>
      <w:r w:rsidR="00FA3B17">
        <w:rPr>
          <w:color w:val="000000" w:themeColor="text1"/>
        </w:rPr>
        <w:t>: Q: We have a Diversity Action Plan that includes gender and socioeconomic class. A: The update follows SGA’s resolution, and includes non-religion.</w:t>
      </w:r>
    </w:p>
    <w:p w14:paraId="708D56A9" w14:textId="70DCAC13" w:rsidR="00937530" w:rsidRDefault="00937530">
      <w:pPr>
        <w:rPr>
          <w:b/>
          <w:bCs/>
        </w:rPr>
      </w:pPr>
    </w:p>
    <w:p w14:paraId="5CC25447" w14:textId="748B7C88" w:rsidR="00FA3B17" w:rsidRPr="00451CEE" w:rsidRDefault="00FA3B17">
      <w:pPr>
        <w:rPr>
          <w:b/>
          <w:bCs/>
        </w:rPr>
      </w:pPr>
      <w:r>
        <w:rPr>
          <w:b/>
          <w:bCs/>
        </w:rPr>
        <w:t>Univer</w:t>
      </w:r>
      <w:r w:rsidRPr="00451CEE">
        <w:rPr>
          <w:b/>
          <w:bCs/>
        </w:rPr>
        <w:t xml:space="preserve">sity President — </w:t>
      </w:r>
      <w:r w:rsidR="0096712D" w:rsidRPr="00451CEE">
        <w:rPr>
          <w:b/>
          <w:bCs/>
        </w:rPr>
        <w:t>President</w:t>
      </w:r>
      <w:r w:rsidRPr="00451CEE">
        <w:rPr>
          <w:b/>
          <w:bCs/>
        </w:rPr>
        <w:t xml:space="preserve"> Dorman</w:t>
      </w:r>
    </w:p>
    <w:p w14:paraId="001CF5FC" w14:textId="7834C7CE" w:rsidR="00E2138B" w:rsidRPr="00451CEE" w:rsidRDefault="00E2138B">
      <w:pPr>
        <w:rPr>
          <w:b/>
          <w:bCs/>
        </w:rPr>
      </w:pPr>
    </w:p>
    <w:p w14:paraId="14C4DA19" w14:textId="3A5AFFC2" w:rsidR="0096712D" w:rsidRPr="00451CEE" w:rsidRDefault="0096712D" w:rsidP="00451CEE">
      <w:pPr>
        <w:pStyle w:val="ListParagraph"/>
        <w:numPr>
          <w:ilvl w:val="0"/>
          <w:numId w:val="49"/>
        </w:numPr>
        <w:rPr>
          <w:rFonts w:ascii="Times New Roman" w:hAnsi="Times New Roman" w:cs="Times New Roman"/>
          <w:sz w:val="24"/>
          <w:szCs w:val="24"/>
        </w:rPr>
      </w:pPr>
      <w:r w:rsidRPr="00451CEE">
        <w:rPr>
          <w:rFonts w:ascii="Times New Roman" w:hAnsi="Times New Roman" w:cs="Times New Roman"/>
          <w:sz w:val="24"/>
          <w:szCs w:val="24"/>
        </w:rPr>
        <w:lastRenderedPageBreak/>
        <w:t xml:space="preserve">As President Dorman had extended </w:t>
      </w:r>
      <w:r w:rsidRPr="00451CEE">
        <w:rPr>
          <w:rFonts w:ascii="Times New Roman" w:hAnsi="Times New Roman" w:cs="Times New Roman"/>
          <w:i/>
          <w:iCs/>
          <w:sz w:val="24"/>
          <w:szCs w:val="24"/>
        </w:rPr>
        <w:t>Regrets</w:t>
      </w:r>
      <w:r w:rsidRPr="00451CEE">
        <w:rPr>
          <w:rFonts w:ascii="Times New Roman" w:hAnsi="Times New Roman" w:cs="Times New Roman"/>
          <w:sz w:val="24"/>
          <w:szCs w:val="24"/>
        </w:rPr>
        <w:t xml:space="preserve"> and was unable to attend this meeting, there was no President’s Report.</w:t>
      </w:r>
    </w:p>
    <w:p w14:paraId="2BD9247E" w14:textId="5C7C35A0" w:rsidR="0096712D" w:rsidRDefault="00255B99">
      <w:r>
        <w:rPr>
          <w:b/>
          <w:bCs/>
        </w:rPr>
        <w:t xml:space="preserve">University Provost </w:t>
      </w:r>
      <w:r w:rsidRPr="00FA3B17">
        <w:rPr>
          <w:b/>
          <w:bCs/>
        </w:rPr>
        <w:t>—</w:t>
      </w:r>
      <w:r>
        <w:rPr>
          <w:b/>
          <w:bCs/>
        </w:rPr>
        <w:t xml:space="preserve"> Provost Spirou</w:t>
      </w:r>
    </w:p>
    <w:p w14:paraId="242219E9" w14:textId="4B48D0DE" w:rsidR="00255B99" w:rsidRDefault="00255B99"/>
    <w:p w14:paraId="2AC23FC2" w14:textId="77777777" w:rsidR="00FE135B" w:rsidRPr="004606B0" w:rsidRDefault="00FE135B" w:rsidP="00FE135B">
      <w:pPr>
        <w:pStyle w:val="ListParagraph"/>
        <w:numPr>
          <w:ilvl w:val="0"/>
          <w:numId w:val="41"/>
        </w:numPr>
        <w:spacing w:after="160" w:line="256" w:lineRule="auto"/>
        <w:rPr>
          <w:rFonts w:ascii="Times New Roman" w:hAnsi="Times New Roman" w:cs="Times New Roman"/>
          <w:b/>
          <w:bCs/>
          <w:sz w:val="24"/>
          <w:szCs w:val="24"/>
          <w:u w:val="single"/>
        </w:rPr>
      </w:pPr>
      <w:r w:rsidRPr="004606B0">
        <w:rPr>
          <w:rFonts w:ascii="Times New Roman" w:hAnsi="Times New Roman" w:cs="Times New Roman"/>
          <w:b/>
          <w:bCs/>
          <w:sz w:val="24"/>
          <w:szCs w:val="24"/>
          <w:u w:val="single"/>
        </w:rPr>
        <w:t>General Education</w:t>
      </w:r>
    </w:p>
    <w:p w14:paraId="7914B1CA"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USG is in the process of creating a General Education Implementation Group (expected to be in place in the next week or so) with representation across the System.  </w:t>
      </w:r>
    </w:p>
    <w:p w14:paraId="29F59B0E"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In addition to faculty, the General Education Implementation Group is likely to include representatives from other offices (i.e., Registrar, Academic Advising, etc..).</w:t>
      </w:r>
    </w:p>
    <w:p w14:paraId="4E4A278D"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It is expected that the General Education Implementation Group will complete its work around January/February 2020.</w:t>
      </w:r>
    </w:p>
    <w:p w14:paraId="0DDC204C"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A presentation of Gen Ed recommendations by the USG to the BOR will take place sometime in the Spring 2020.</w:t>
      </w:r>
    </w:p>
    <w:p w14:paraId="50CFAF71"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Implementation is now more likely to occur in Fall 2021.</w:t>
      </w:r>
    </w:p>
    <w:p w14:paraId="4A8A65DB" w14:textId="77777777" w:rsidR="00FE135B" w:rsidRPr="003B57D6" w:rsidRDefault="00FE135B" w:rsidP="00FE135B">
      <w:pPr>
        <w:pStyle w:val="ListParagraph"/>
        <w:numPr>
          <w:ilvl w:val="0"/>
          <w:numId w:val="41"/>
        </w:numPr>
        <w:spacing w:after="160" w:line="256" w:lineRule="auto"/>
        <w:rPr>
          <w:rFonts w:ascii="Times New Roman" w:hAnsi="Times New Roman" w:cs="Times New Roman"/>
          <w:b/>
          <w:bCs/>
          <w:sz w:val="24"/>
          <w:szCs w:val="24"/>
          <w:u w:val="single"/>
        </w:rPr>
      </w:pPr>
      <w:r w:rsidRPr="003B57D6">
        <w:rPr>
          <w:rFonts w:ascii="Times New Roman" w:hAnsi="Times New Roman" w:cs="Times New Roman"/>
          <w:b/>
          <w:bCs/>
          <w:sz w:val="24"/>
          <w:szCs w:val="24"/>
          <w:u w:val="single"/>
        </w:rPr>
        <w:t xml:space="preserve">Professor of Practice </w:t>
      </w:r>
    </w:p>
    <w:p w14:paraId="3A725A4D"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Previous conversations about “Clinical Faculty” status.</w:t>
      </w:r>
    </w:p>
    <w:p w14:paraId="4FFF0A59"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The USG is considering the “Professor of Practice” faculty designation for non-research intensive institutions.</w:t>
      </w:r>
    </w:p>
    <w:p w14:paraId="063CD206"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This would complement the OneUSG classification currently in place.</w:t>
      </w:r>
    </w:p>
    <w:p w14:paraId="6651F3EA" w14:textId="77777777" w:rsidR="00FE135B" w:rsidRPr="003B57D6" w:rsidRDefault="00FE135B" w:rsidP="00FE135B">
      <w:pPr>
        <w:pStyle w:val="ListParagraph"/>
        <w:numPr>
          <w:ilvl w:val="0"/>
          <w:numId w:val="41"/>
        </w:numPr>
        <w:spacing w:after="160" w:line="256" w:lineRule="auto"/>
        <w:rPr>
          <w:rFonts w:ascii="Times New Roman" w:hAnsi="Times New Roman" w:cs="Times New Roman"/>
          <w:b/>
          <w:bCs/>
          <w:sz w:val="24"/>
          <w:szCs w:val="24"/>
          <w:u w:val="single"/>
        </w:rPr>
      </w:pPr>
      <w:r w:rsidRPr="003B57D6">
        <w:rPr>
          <w:rFonts w:ascii="Times New Roman" w:hAnsi="Times New Roman" w:cs="Times New Roman"/>
          <w:b/>
          <w:bCs/>
          <w:sz w:val="24"/>
          <w:szCs w:val="24"/>
          <w:u w:val="single"/>
        </w:rPr>
        <w:t>Faculty Contract and Tenure Calculations</w:t>
      </w:r>
    </w:p>
    <w:p w14:paraId="710739A3"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USG is preparing for academic and fiscal year faculty contracts to be accessed and signed using OneUSG Connect. </w:t>
      </w:r>
    </w:p>
    <w:p w14:paraId="3D3B160E"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The new process replaces the previous processing of printing, signing, and/or scanning paper contracts.</w:t>
      </w:r>
    </w:p>
    <w:p w14:paraId="1EC9EA09"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Contracts can be signed electronically.  </w:t>
      </w:r>
    </w:p>
    <w:p w14:paraId="432411AB"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The new system will also provide tenure calculations such as years of service/eligibility for tenure/promotion/post-tenure review, etc…</w:t>
      </w:r>
    </w:p>
    <w:p w14:paraId="59C6A203"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Still require local involvement to support this process.</w:t>
      </w:r>
    </w:p>
    <w:p w14:paraId="34424593" w14:textId="77777777" w:rsidR="00FE135B" w:rsidRPr="003B57D6" w:rsidRDefault="00FE135B" w:rsidP="00FE135B">
      <w:pPr>
        <w:pStyle w:val="ListParagraph"/>
        <w:numPr>
          <w:ilvl w:val="0"/>
          <w:numId w:val="41"/>
        </w:numPr>
        <w:spacing w:after="160" w:line="256" w:lineRule="auto"/>
        <w:rPr>
          <w:rFonts w:ascii="Times New Roman" w:hAnsi="Times New Roman" w:cs="Times New Roman"/>
          <w:b/>
          <w:bCs/>
          <w:sz w:val="24"/>
          <w:szCs w:val="24"/>
          <w:u w:val="single"/>
        </w:rPr>
      </w:pPr>
      <w:r w:rsidRPr="003B57D6">
        <w:rPr>
          <w:rFonts w:ascii="Times New Roman" w:hAnsi="Times New Roman" w:cs="Times New Roman"/>
          <w:b/>
          <w:bCs/>
          <w:sz w:val="24"/>
          <w:szCs w:val="24"/>
          <w:u w:val="single"/>
        </w:rPr>
        <w:t>Emeritus/Emerita Status</w:t>
      </w:r>
    </w:p>
    <w:p w14:paraId="6D73F53C"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A USG working group will be engaged in providing guidance on Emeritus/Emerita Status.</w:t>
      </w:r>
    </w:p>
    <w:p w14:paraId="14940106"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Considerable differences in the process across USG institutions.</w:t>
      </w:r>
    </w:p>
    <w:p w14:paraId="0CF81155" w14:textId="77777777" w:rsidR="00FE135B" w:rsidRPr="003B57D6" w:rsidRDefault="00FE135B" w:rsidP="00FE135B">
      <w:pPr>
        <w:pStyle w:val="ListParagraph"/>
        <w:numPr>
          <w:ilvl w:val="0"/>
          <w:numId w:val="41"/>
        </w:numPr>
        <w:spacing w:after="160" w:line="256" w:lineRule="auto"/>
        <w:rPr>
          <w:rFonts w:ascii="Times New Roman" w:hAnsi="Times New Roman" w:cs="Times New Roman"/>
          <w:b/>
          <w:bCs/>
          <w:sz w:val="24"/>
          <w:szCs w:val="24"/>
          <w:u w:val="single"/>
        </w:rPr>
      </w:pPr>
      <w:r w:rsidRPr="003B57D6">
        <w:rPr>
          <w:rFonts w:ascii="Times New Roman" w:hAnsi="Times New Roman" w:cs="Times New Roman"/>
          <w:b/>
          <w:bCs/>
          <w:sz w:val="24"/>
          <w:szCs w:val="24"/>
          <w:u w:val="single"/>
        </w:rPr>
        <w:t>Teacher Preparation</w:t>
      </w:r>
    </w:p>
    <w:p w14:paraId="23BDAEAA"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Considerable shortage, especially in early childhood, elementary education, special education across the state.</w:t>
      </w:r>
    </w:p>
    <w:p w14:paraId="3EE27FDB"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Legislature: Literacy and Mathematics Instruction. </w:t>
      </w:r>
    </w:p>
    <w:p w14:paraId="124FD512"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Lt. Governor’s Office: Year-Long Student Teaching. </w:t>
      </w:r>
    </w:p>
    <w:p w14:paraId="1BADC538"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Governor’s Office: Teacher Retention. </w:t>
      </w:r>
    </w:p>
    <w:p w14:paraId="7473B93A"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Chancellor: Removing Barriers in Teacher Preparation Bring Teacher Education Degrees to 120.</w:t>
      </w:r>
    </w:p>
    <w:p w14:paraId="1695D5A4"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Vice Chancellor: Education Core Redesign Education Area Focus – 9 hours Area F course revisions.</w:t>
      </w:r>
    </w:p>
    <w:p w14:paraId="0D31B9E4"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College of Education Deans are involved in many of these conversations and meetings.</w:t>
      </w:r>
    </w:p>
    <w:p w14:paraId="47B513FA" w14:textId="77777777"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Expect changes as we move forward.</w:t>
      </w:r>
    </w:p>
    <w:p w14:paraId="08CC47D9" w14:textId="77777777" w:rsidR="00FE135B" w:rsidRPr="003B57D6" w:rsidRDefault="00FE135B" w:rsidP="00FE135B">
      <w:pPr>
        <w:pStyle w:val="ListParagraph"/>
        <w:numPr>
          <w:ilvl w:val="0"/>
          <w:numId w:val="41"/>
        </w:numPr>
        <w:spacing w:after="160" w:line="256" w:lineRule="auto"/>
        <w:rPr>
          <w:rFonts w:ascii="Times New Roman" w:hAnsi="Times New Roman" w:cs="Times New Roman"/>
          <w:b/>
          <w:bCs/>
          <w:sz w:val="24"/>
          <w:szCs w:val="24"/>
          <w:u w:val="single"/>
        </w:rPr>
      </w:pPr>
      <w:r w:rsidRPr="003B57D6">
        <w:rPr>
          <w:rFonts w:ascii="Times New Roman" w:hAnsi="Times New Roman" w:cs="Times New Roman"/>
          <w:b/>
          <w:bCs/>
          <w:sz w:val="24"/>
          <w:szCs w:val="24"/>
          <w:u w:val="single"/>
        </w:rPr>
        <w:t>Student Accommodations</w:t>
      </w:r>
    </w:p>
    <w:p w14:paraId="1FED0422" w14:textId="03419EA5" w:rsidR="00FE135B" w:rsidRDefault="00FE135B" w:rsidP="00FE135B">
      <w:pPr>
        <w:pStyle w:val="ListParagraph"/>
        <w:numPr>
          <w:ilvl w:val="1"/>
          <w:numId w:val="41"/>
        </w:numPr>
        <w:spacing w:after="160" w:line="256" w:lineRule="auto"/>
        <w:rPr>
          <w:rFonts w:ascii="Times New Roman" w:hAnsi="Times New Roman" w:cs="Times New Roman"/>
          <w:sz w:val="24"/>
          <w:szCs w:val="24"/>
        </w:rPr>
      </w:pPr>
      <w:r>
        <w:rPr>
          <w:rFonts w:ascii="Times New Roman" w:hAnsi="Times New Roman" w:cs="Times New Roman"/>
          <w:sz w:val="24"/>
          <w:szCs w:val="24"/>
        </w:rPr>
        <w:t>Faculty must provide students with accommodations when appropriate documentation is in place.</w:t>
      </w:r>
    </w:p>
    <w:p w14:paraId="076FCA81" w14:textId="59A990DB" w:rsidR="00AB57EE" w:rsidRPr="003B57D6" w:rsidRDefault="00451CEE" w:rsidP="00AB57EE">
      <w:pPr>
        <w:pStyle w:val="ListParagraph"/>
        <w:numPr>
          <w:ilvl w:val="0"/>
          <w:numId w:val="41"/>
        </w:numPr>
        <w:spacing w:after="160" w:line="256" w:lineRule="auto"/>
        <w:rPr>
          <w:rFonts w:ascii="Times New Roman" w:hAnsi="Times New Roman" w:cs="Times New Roman"/>
          <w:b/>
          <w:bCs/>
          <w:sz w:val="24"/>
          <w:szCs w:val="24"/>
          <w:u w:val="single"/>
        </w:rPr>
      </w:pPr>
      <w:r w:rsidRPr="003B57D6">
        <w:rPr>
          <w:rFonts w:ascii="Times New Roman" w:hAnsi="Times New Roman" w:cs="Times New Roman"/>
          <w:b/>
          <w:bCs/>
          <w:sz w:val="24"/>
          <w:szCs w:val="24"/>
          <w:u w:val="single"/>
        </w:rPr>
        <w:t>ECUS-SCC Discussion</w:t>
      </w:r>
    </w:p>
    <w:p w14:paraId="01676B29" w14:textId="72EF623E" w:rsidR="00AB57EE" w:rsidRPr="000173B5" w:rsidRDefault="00AB57EE" w:rsidP="00FE135B">
      <w:pPr>
        <w:pStyle w:val="ListParagraph"/>
        <w:numPr>
          <w:ilvl w:val="1"/>
          <w:numId w:val="41"/>
        </w:numPr>
        <w:spacing w:after="160" w:line="256" w:lineRule="auto"/>
        <w:rPr>
          <w:rFonts w:ascii="Times New Roman" w:hAnsi="Times New Roman" w:cs="Times New Roman"/>
          <w:sz w:val="24"/>
          <w:szCs w:val="24"/>
        </w:rPr>
      </w:pPr>
      <w:r w:rsidRPr="000F4E9D">
        <w:rPr>
          <w:rFonts w:ascii="Times New Roman" w:hAnsi="Times New Roman" w:cs="Times New Roman"/>
          <w:sz w:val="24"/>
          <w:szCs w:val="24"/>
        </w:rPr>
        <w:t>Q: Does GC have any representation on the USG Gen</w:t>
      </w:r>
      <w:r w:rsidR="008F1FBA">
        <w:rPr>
          <w:rFonts w:ascii="Times New Roman" w:hAnsi="Times New Roman" w:cs="Times New Roman"/>
          <w:sz w:val="24"/>
          <w:szCs w:val="24"/>
        </w:rPr>
        <w:t xml:space="preserve">eral </w:t>
      </w:r>
      <w:r w:rsidRPr="000F4E9D">
        <w:rPr>
          <w:rFonts w:ascii="Times New Roman" w:hAnsi="Times New Roman" w:cs="Times New Roman"/>
          <w:sz w:val="24"/>
          <w:szCs w:val="24"/>
        </w:rPr>
        <w:t>Ed</w:t>
      </w:r>
      <w:r w:rsidR="008F1FBA">
        <w:rPr>
          <w:rFonts w:ascii="Times New Roman" w:hAnsi="Times New Roman" w:cs="Times New Roman"/>
          <w:sz w:val="24"/>
          <w:szCs w:val="24"/>
        </w:rPr>
        <w:t>ucation</w:t>
      </w:r>
      <w:r w:rsidRPr="000F4E9D">
        <w:rPr>
          <w:rFonts w:ascii="Times New Roman" w:hAnsi="Times New Roman" w:cs="Times New Roman"/>
          <w:sz w:val="24"/>
          <w:szCs w:val="24"/>
        </w:rPr>
        <w:t xml:space="preserve"> </w:t>
      </w:r>
      <w:r w:rsidR="004606B0">
        <w:rPr>
          <w:rFonts w:ascii="Times New Roman" w:hAnsi="Times New Roman" w:cs="Times New Roman"/>
          <w:sz w:val="24"/>
          <w:szCs w:val="24"/>
        </w:rPr>
        <w:t xml:space="preserve">Implementation </w:t>
      </w:r>
      <w:r w:rsidRPr="000F4E9D">
        <w:rPr>
          <w:rFonts w:ascii="Times New Roman" w:hAnsi="Times New Roman" w:cs="Times New Roman"/>
          <w:sz w:val="24"/>
          <w:szCs w:val="24"/>
        </w:rPr>
        <w:t>group? A: No.</w:t>
      </w:r>
    </w:p>
    <w:p w14:paraId="3D388282" w14:textId="403ECB0E" w:rsidR="00AB57EE" w:rsidRPr="000173B5" w:rsidRDefault="00AB57EE" w:rsidP="00FE135B">
      <w:pPr>
        <w:pStyle w:val="ListParagraph"/>
        <w:numPr>
          <w:ilvl w:val="1"/>
          <w:numId w:val="41"/>
        </w:numPr>
        <w:spacing w:after="160" w:line="256" w:lineRule="auto"/>
        <w:rPr>
          <w:rFonts w:ascii="Times New Roman" w:hAnsi="Times New Roman" w:cs="Times New Roman"/>
          <w:sz w:val="24"/>
          <w:szCs w:val="24"/>
        </w:rPr>
      </w:pPr>
      <w:r w:rsidRPr="000173B5">
        <w:rPr>
          <w:rFonts w:ascii="Times New Roman" w:hAnsi="Times New Roman" w:cs="Times New Roman"/>
          <w:sz w:val="24"/>
          <w:szCs w:val="24"/>
        </w:rPr>
        <w:t xml:space="preserve">Q: It would be helpful to know what a student accommodation is for. Could Disability Services hold a workshop? A: </w:t>
      </w:r>
      <w:r w:rsidR="008F1FBA" w:rsidRPr="000173B5">
        <w:rPr>
          <w:rFonts w:ascii="Times New Roman" w:hAnsi="Times New Roman" w:cs="Times New Roman"/>
          <w:sz w:val="24"/>
          <w:szCs w:val="24"/>
          <w:highlight w:val="yellow"/>
        </w:rPr>
        <w:t>David Johnson will</w:t>
      </w:r>
      <w:r w:rsidRPr="000173B5">
        <w:rPr>
          <w:rFonts w:ascii="Times New Roman" w:hAnsi="Times New Roman" w:cs="Times New Roman"/>
          <w:sz w:val="24"/>
          <w:szCs w:val="24"/>
          <w:highlight w:val="yellow"/>
        </w:rPr>
        <w:t xml:space="preserve"> invite David Anderson to an upcoming Senate meeting.</w:t>
      </w:r>
    </w:p>
    <w:p w14:paraId="34B1CD44" w14:textId="1693AC19" w:rsidR="00AB57EE" w:rsidRPr="000173B5" w:rsidRDefault="00AB57EE" w:rsidP="00FE135B">
      <w:pPr>
        <w:pStyle w:val="ListParagraph"/>
        <w:numPr>
          <w:ilvl w:val="1"/>
          <w:numId w:val="41"/>
        </w:numPr>
        <w:spacing w:after="160" w:line="256" w:lineRule="auto"/>
        <w:rPr>
          <w:rFonts w:ascii="Times New Roman" w:hAnsi="Times New Roman" w:cs="Times New Roman"/>
          <w:sz w:val="24"/>
          <w:szCs w:val="24"/>
        </w:rPr>
      </w:pPr>
      <w:r w:rsidRPr="000173B5">
        <w:rPr>
          <w:rFonts w:ascii="Times New Roman" w:hAnsi="Times New Roman" w:cs="Times New Roman"/>
          <w:sz w:val="24"/>
          <w:szCs w:val="24"/>
        </w:rPr>
        <w:t>Q: What is the timeline on converting to electronic faculty contracts? A: The procedures will be reviewed by CBOs on November 1.  The goal is probably next year.</w:t>
      </w:r>
    </w:p>
    <w:p w14:paraId="6634D894" w14:textId="63CC5CEE" w:rsidR="008301F8" w:rsidRPr="000173B5" w:rsidRDefault="008301F8">
      <w:pPr>
        <w:rPr>
          <w:b/>
          <w:bCs/>
        </w:rPr>
      </w:pPr>
      <w:r w:rsidRPr="000173B5">
        <w:rPr>
          <w:b/>
          <w:bCs/>
        </w:rPr>
        <w:t>Subcommittee on Nominations</w:t>
      </w:r>
      <w:r w:rsidR="005836AA" w:rsidRPr="000173B5">
        <w:rPr>
          <w:b/>
          <w:bCs/>
        </w:rPr>
        <w:t xml:space="preserve"> (SCoN)</w:t>
      </w:r>
      <w:r w:rsidRPr="000173B5">
        <w:rPr>
          <w:b/>
          <w:bCs/>
        </w:rPr>
        <w:t xml:space="preserve"> — </w:t>
      </w:r>
      <w:r w:rsidR="00EC6CB3">
        <w:rPr>
          <w:b/>
          <w:bCs/>
        </w:rPr>
        <w:t xml:space="preserve">Chair </w:t>
      </w:r>
      <w:r w:rsidRPr="000173B5">
        <w:rPr>
          <w:b/>
          <w:bCs/>
        </w:rPr>
        <w:t>Hauke Busch</w:t>
      </w:r>
    </w:p>
    <w:p w14:paraId="4E6E53B4" w14:textId="798E017F" w:rsidR="00255B99" w:rsidRPr="000173B5" w:rsidRDefault="00255B99"/>
    <w:p w14:paraId="6E400A8D" w14:textId="77777777" w:rsidR="00451CEE" w:rsidRDefault="00623821" w:rsidP="000173B5">
      <w:pPr>
        <w:pStyle w:val="ListParagraph"/>
        <w:numPr>
          <w:ilvl w:val="0"/>
          <w:numId w:val="43"/>
        </w:numPr>
        <w:rPr>
          <w:rFonts w:ascii="Times New Roman" w:hAnsi="Times New Roman" w:cs="Times New Roman"/>
          <w:sz w:val="24"/>
          <w:szCs w:val="24"/>
        </w:rPr>
      </w:pPr>
      <w:r w:rsidRPr="003B57D6">
        <w:rPr>
          <w:rFonts w:ascii="Times New Roman" w:hAnsi="Times New Roman" w:cs="Times New Roman"/>
          <w:b/>
          <w:bCs/>
          <w:sz w:val="24"/>
          <w:szCs w:val="24"/>
          <w:u w:val="single"/>
        </w:rPr>
        <w:t>Faculty Senator Election Materials</w:t>
      </w:r>
      <w:r w:rsidR="005836AA" w:rsidRPr="000173B5">
        <w:rPr>
          <w:rFonts w:ascii="Times New Roman" w:hAnsi="Times New Roman" w:cs="Times New Roman"/>
          <w:b/>
          <w:bCs/>
          <w:sz w:val="24"/>
          <w:szCs w:val="24"/>
        </w:rPr>
        <w:t xml:space="preserve">: </w:t>
      </w:r>
      <w:r w:rsidR="005836AA" w:rsidRPr="000173B5">
        <w:rPr>
          <w:rFonts w:ascii="Times New Roman" w:hAnsi="Times New Roman" w:cs="Times New Roman"/>
          <w:sz w:val="24"/>
          <w:szCs w:val="24"/>
        </w:rPr>
        <w:t>Prior to the meeting, SCoN Chair Hauke Busch distributed election materials, including the 2019-2020 Apportionment based on Corps of Instruction List and letters to deans and the library director. It was noted that the first list had errors and needed to be double-checked. Regarding apportionment, it was noted that recent practice has been to include administrators in the Corps of Instruction.  According to this year’s apportionment, CoB will decrease one senator and CoHS will increase one senator.</w:t>
      </w:r>
    </w:p>
    <w:p w14:paraId="514780FC" w14:textId="1FE570F5" w:rsidR="00451CEE" w:rsidRDefault="000173B5" w:rsidP="00451CEE">
      <w:pPr>
        <w:pStyle w:val="ListParagraph"/>
        <w:numPr>
          <w:ilvl w:val="1"/>
          <w:numId w:val="43"/>
        </w:numPr>
        <w:rPr>
          <w:rFonts w:ascii="Times New Roman" w:hAnsi="Times New Roman" w:cs="Times New Roman"/>
          <w:sz w:val="24"/>
          <w:szCs w:val="24"/>
        </w:rPr>
      </w:pPr>
      <w:r w:rsidRPr="000173B5">
        <w:rPr>
          <w:rFonts w:ascii="Times New Roman" w:hAnsi="Times New Roman" w:cs="Times New Roman"/>
          <w:sz w:val="24"/>
          <w:szCs w:val="24"/>
        </w:rPr>
        <w:t xml:space="preserve">A </w:t>
      </w:r>
      <w:r w:rsidRPr="000173B5">
        <w:rPr>
          <w:rFonts w:ascii="Times New Roman" w:hAnsi="Times New Roman" w:cs="Times New Roman"/>
          <w:b/>
          <w:bCs/>
          <w:sz w:val="24"/>
          <w:szCs w:val="24"/>
          <w:u w:val="single"/>
        </w:rPr>
        <w:t>Motion</w:t>
      </w:r>
      <w:r w:rsidRPr="000173B5">
        <w:rPr>
          <w:rFonts w:ascii="Times New Roman" w:hAnsi="Times New Roman" w:cs="Times New Roman"/>
          <w:sz w:val="24"/>
          <w:szCs w:val="24"/>
        </w:rPr>
        <w:t xml:space="preserve"> to approve the apportionment and send the election materials to college deans and library director was made and seconded.</w:t>
      </w:r>
      <w:r w:rsidR="000246BE">
        <w:rPr>
          <w:rFonts w:ascii="Times New Roman" w:hAnsi="Times New Roman" w:cs="Times New Roman"/>
          <w:sz w:val="24"/>
          <w:szCs w:val="24"/>
        </w:rPr>
        <w:t xml:space="preserve"> </w:t>
      </w:r>
      <w:r w:rsidRPr="000173B5">
        <w:rPr>
          <w:rFonts w:ascii="Times New Roman" w:hAnsi="Times New Roman" w:cs="Times New Roman"/>
          <w:sz w:val="24"/>
          <w:szCs w:val="24"/>
        </w:rPr>
        <w:t xml:space="preserve"> </w:t>
      </w:r>
      <w:r w:rsidRPr="000173B5">
        <w:rPr>
          <w:rFonts w:ascii="Times New Roman" w:hAnsi="Times New Roman" w:cs="Times New Roman"/>
          <w:color w:val="FF0000"/>
          <w:sz w:val="24"/>
          <w:szCs w:val="24"/>
        </w:rPr>
        <w:t>The motion was approved.</w:t>
      </w:r>
      <w:r w:rsidRPr="000173B5">
        <w:rPr>
          <w:rFonts w:ascii="Times New Roman" w:hAnsi="Times New Roman" w:cs="Times New Roman"/>
          <w:sz w:val="24"/>
          <w:szCs w:val="24"/>
        </w:rPr>
        <w:t xml:space="preserve"> </w:t>
      </w:r>
    </w:p>
    <w:p w14:paraId="63FF7A4A" w14:textId="3501AF39" w:rsidR="00255B99" w:rsidRPr="000173B5" w:rsidRDefault="000173B5">
      <w:pPr>
        <w:rPr>
          <w:b/>
          <w:bCs/>
        </w:rPr>
      </w:pPr>
      <w:r w:rsidRPr="000173B5">
        <w:rPr>
          <w:b/>
          <w:bCs/>
        </w:rPr>
        <w:t xml:space="preserve">Executive Committee of University Senate (ECUS) — </w:t>
      </w:r>
      <w:r w:rsidR="00EC6CB3">
        <w:rPr>
          <w:b/>
          <w:bCs/>
        </w:rPr>
        <w:t xml:space="preserve">Chair </w:t>
      </w:r>
      <w:r w:rsidRPr="000173B5">
        <w:rPr>
          <w:b/>
          <w:bCs/>
        </w:rPr>
        <w:t>David Johnson</w:t>
      </w:r>
    </w:p>
    <w:p w14:paraId="2AB59BC1" w14:textId="621E073D" w:rsidR="00255B99" w:rsidRPr="000173B5" w:rsidRDefault="00255B99"/>
    <w:p w14:paraId="35088D1F" w14:textId="5DE2D29F" w:rsidR="000173B5" w:rsidRPr="000173B5" w:rsidRDefault="000173B5" w:rsidP="000173B5">
      <w:pPr>
        <w:pStyle w:val="ListParagraph"/>
        <w:numPr>
          <w:ilvl w:val="0"/>
          <w:numId w:val="44"/>
        </w:numPr>
        <w:rPr>
          <w:rFonts w:ascii="Times New Roman" w:hAnsi="Times New Roman" w:cs="Times New Roman"/>
          <w:sz w:val="24"/>
          <w:szCs w:val="24"/>
        </w:rPr>
      </w:pPr>
      <w:r w:rsidRPr="000173B5">
        <w:rPr>
          <w:rFonts w:ascii="Times New Roman" w:hAnsi="Times New Roman" w:cs="Times New Roman"/>
          <w:sz w:val="24"/>
          <w:szCs w:val="24"/>
        </w:rPr>
        <w:t xml:space="preserve">A </w:t>
      </w:r>
      <w:r w:rsidRPr="000173B5">
        <w:rPr>
          <w:rFonts w:ascii="Times New Roman" w:hAnsi="Times New Roman" w:cs="Times New Roman"/>
          <w:b/>
          <w:bCs/>
          <w:sz w:val="24"/>
          <w:szCs w:val="24"/>
          <w:u w:val="single"/>
        </w:rPr>
        <w:t>Motion</w:t>
      </w:r>
      <w:r w:rsidRPr="000173B5">
        <w:rPr>
          <w:rFonts w:ascii="Times New Roman" w:hAnsi="Times New Roman" w:cs="Times New Roman"/>
          <w:sz w:val="24"/>
          <w:szCs w:val="24"/>
        </w:rPr>
        <w:t xml:space="preserve"> to extend the meeting 15 minutes</w:t>
      </w:r>
      <w:r>
        <w:rPr>
          <w:rFonts w:ascii="Times New Roman" w:hAnsi="Times New Roman" w:cs="Times New Roman"/>
          <w:sz w:val="24"/>
          <w:szCs w:val="24"/>
        </w:rPr>
        <w:t xml:space="preserve"> was made and seconded.</w:t>
      </w:r>
      <w:r w:rsidR="003B57D6">
        <w:rPr>
          <w:rFonts w:ascii="Times New Roman" w:hAnsi="Times New Roman" w:cs="Times New Roman"/>
          <w:sz w:val="24"/>
          <w:szCs w:val="24"/>
        </w:rPr>
        <w:t xml:space="preserve"> </w:t>
      </w:r>
      <w:r w:rsidRPr="000173B5">
        <w:rPr>
          <w:rFonts w:ascii="Times New Roman" w:hAnsi="Times New Roman" w:cs="Times New Roman"/>
          <w:sz w:val="24"/>
          <w:szCs w:val="24"/>
        </w:rPr>
        <w:t xml:space="preserve"> </w:t>
      </w:r>
      <w:r w:rsidRPr="000173B5">
        <w:rPr>
          <w:rFonts w:ascii="Times New Roman" w:hAnsi="Times New Roman" w:cs="Times New Roman"/>
          <w:color w:val="FF0000"/>
          <w:sz w:val="24"/>
          <w:szCs w:val="24"/>
        </w:rPr>
        <w:t>The motion was approved</w:t>
      </w:r>
      <w:r>
        <w:rPr>
          <w:rFonts w:ascii="Times New Roman" w:hAnsi="Times New Roman" w:cs="Times New Roman"/>
          <w:color w:val="FF0000"/>
          <w:sz w:val="24"/>
          <w:szCs w:val="24"/>
        </w:rPr>
        <w:t>.</w:t>
      </w:r>
      <w:r>
        <w:rPr>
          <w:rFonts w:ascii="Times New Roman" w:hAnsi="Times New Roman" w:cs="Times New Roman"/>
          <w:sz w:val="24"/>
          <w:szCs w:val="24"/>
        </w:rPr>
        <w:t xml:space="preserve"> </w:t>
      </w:r>
      <w:r w:rsidR="000246BE">
        <w:rPr>
          <w:rFonts w:ascii="Times New Roman" w:hAnsi="Times New Roman" w:cs="Times New Roman"/>
          <w:sz w:val="24"/>
          <w:szCs w:val="24"/>
        </w:rPr>
        <w:t xml:space="preserve"> </w:t>
      </w:r>
      <w:r>
        <w:rPr>
          <w:rFonts w:ascii="Times New Roman" w:hAnsi="Times New Roman" w:cs="Times New Roman"/>
          <w:sz w:val="24"/>
          <w:szCs w:val="24"/>
        </w:rPr>
        <w:t>In the interest of saving time, David Johnson</w:t>
      </w:r>
      <w:r w:rsidR="00D9350E">
        <w:rPr>
          <w:rFonts w:ascii="Times New Roman" w:hAnsi="Times New Roman" w:cs="Times New Roman"/>
          <w:sz w:val="24"/>
          <w:szCs w:val="24"/>
        </w:rPr>
        <w:t xml:space="preserve"> </w:t>
      </w:r>
      <w:r w:rsidR="003B57D6">
        <w:rPr>
          <w:rFonts w:ascii="Times New Roman" w:hAnsi="Times New Roman" w:cs="Times New Roman"/>
          <w:sz w:val="24"/>
          <w:szCs w:val="24"/>
        </w:rPr>
        <w:t>stated</w:t>
      </w:r>
      <w:r w:rsidR="00D9350E">
        <w:rPr>
          <w:rFonts w:ascii="Times New Roman" w:hAnsi="Times New Roman" w:cs="Times New Roman"/>
          <w:sz w:val="24"/>
          <w:szCs w:val="24"/>
        </w:rPr>
        <w:t xml:space="preserve"> he would share </w:t>
      </w:r>
      <w:r w:rsidR="000246BE">
        <w:rPr>
          <w:rFonts w:ascii="Times New Roman" w:hAnsi="Times New Roman" w:cs="Times New Roman"/>
          <w:sz w:val="24"/>
          <w:szCs w:val="24"/>
        </w:rPr>
        <w:t>his report</w:t>
      </w:r>
      <w:r w:rsidR="00D9350E">
        <w:rPr>
          <w:rFonts w:ascii="Times New Roman" w:hAnsi="Times New Roman" w:cs="Times New Roman"/>
          <w:sz w:val="24"/>
          <w:szCs w:val="24"/>
        </w:rPr>
        <w:t xml:space="preserve"> via email with members.  The report follows.</w:t>
      </w:r>
    </w:p>
    <w:p w14:paraId="10AD1D74" w14:textId="2A7653CC" w:rsidR="00D9350E" w:rsidRDefault="00D9350E" w:rsidP="00D9350E">
      <w:pPr>
        <w:pStyle w:val="ListParagraph"/>
        <w:numPr>
          <w:ilvl w:val="0"/>
          <w:numId w:val="44"/>
        </w:numPr>
        <w:spacing w:after="0" w:line="240" w:lineRule="auto"/>
        <w:rPr>
          <w:rFonts w:ascii="Times New Roman" w:hAnsi="Times New Roman"/>
          <w:sz w:val="24"/>
          <w:szCs w:val="24"/>
        </w:rPr>
      </w:pPr>
      <w:bookmarkStart w:id="0" w:name="_Hlk21550134"/>
      <w:r w:rsidRPr="003B57D6">
        <w:rPr>
          <w:rFonts w:ascii="Times New Roman" w:hAnsi="Times New Roman"/>
          <w:b/>
          <w:bCs/>
          <w:sz w:val="24"/>
          <w:szCs w:val="24"/>
          <w:u w:val="single"/>
        </w:rPr>
        <w:t>Initiatives</w:t>
      </w:r>
      <w:r>
        <w:rPr>
          <w:rFonts w:ascii="Times New Roman" w:hAnsi="Times New Roman"/>
          <w:sz w:val="24"/>
          <w:szCs w:val="24"/>
        </w:rPr>
        <w:t>: ECUS has continued a dialogue with Dr. Jim Berger, regarding future CTL programming and initiatives; our new CIO Susan Kerr, regarding the direction of I/T at Georgia College; Dr. Shawn Brooks, regarding the recent changes at the HUB and with the Bright House; and Dr. Veronica Womack, regarding senate’s role in getting the word out on the Campus Climate Survey.</w:t>
      </w:r>
    </w:p>
    <w:p w14:paraId="5C4FB41F" w14:textId="5B49D0D0" w:rsidR="00D9350E" w:rsidRDefault="00D9350E" w:rsidP="00D9350E">
      <w:pPr>
        <w:pStyle w:val="ListParagraph"/>
        <w:numPr>
          <w:ilvl w:val="0"/>
          <w:numId w:val="44"/>
        </w:numPr>
        <w:spacing w:after="0" w:line="240" w:lineRule="auto"/>
        <w:rPr>
          <w:rFonts w:ascii="Times New Roman" w:hAnsi="Times New Roman"/>
          <w:sz w:val="24"/>
          <w:szCs w:val="24"/>
        </w:rPr>
      </w:pPr>
      <w:r w:rsidRPr="003B57D6">
        <w:rPr>
          <w:rFonts w:ascii="Times New Roman" w:hAnsi="Times New Roman"/>
          <w:b/>
          <w:bCs/>
          <w:sz w:val="24"/>
          <w:szCs w:val="24"/>
          <w:u w:val="single"/>
        </w:rPr>
        <w:t>Working Spouse Surcharge</w:t>
      </w:r>
      <w:r>
        <w:rPr>
          <w:rFonts w:ascii="Times New Roman" w:hAnsi="Times New Roman"/>
          <w:sz w:val="24"/>
          <w:szCs w:val="24"/>
        </w:rPr>
        <w:t xml:space="preserve">: After conversations with President Dorman and Carol Ward, ECUS learned that employees who will be paying the $100 spousal surcharge on health care will be on the “honor system,” self-verifying during open enrollment. Our </w:t>
      </w:r>
      <w:r>
        <w:rPr>
          <w:rFonts w:ascii="Times New Roman" w:hAnsi="Times New Roman"/>
          <w:sz w:val="24"/>
          <w:szCs w:val="24"/>
        </w:rPr>
        <w:lastRenderedPageBreak/>
        <w:t>USG Faculty Council Representative, Dr. Hauke Busch, will get additional information regarding this surcharge at the upcoming USGFC retreat Oct 17-18.</w:t>
      </w:r>
    </w:p>
    <w:p w14:paraId="78BDDFF3" w14:textId="244B90A3" w:rsidR="00D9350E" w:rsidRDefault="00D9350E" w:rsidP="00D9350E">
      <w:pPr>
        <w:pStyle w:val="ListParagraph"/>
        <w:numPr>
          <w:ilvl w:val="0"/>
          <w:numId w:val="44"/>
        </w:numPr>
        <w:spacing w:after="0" w:line="240" w:lineRule="auto"/>
        <w:rPr>
          <w:rFonts w:ascii="Times New Roman" w:hAnsi="Times New Roman"/>
          <w:sz w:val="24"/>
          <w:szCs w:val="24"/>
        </w:rPr>
      </w:pPr>
      <w:r w:rsidRPr="003B57D6">
        <w:rPr>
          <w:rFonts w:ascii="Times New Roman" w:hAnsi="Times New Roman"/>
          <w:b/>
          <w:bCs/>
          <w:sz w:val="24"/>
          <w:szCs w:val="24"/>
          <w:u w:val="single"/>
        </w:rPr>
        <w:t>Staff Council Representatives</w:t>
      </w:r>
      <w:r>
        <w:rPr>
          <w:rFonts w:ascii="Times New Roman" w:hAnsi="Times New Roman"/>
          <w:sz w:val="24"/>
          <w:szCs w:val="24"/>
        </w:rPr>
        <w:t>: In light of the recent difficulties in identifying staff senators for University Senate, ECUS has been working with Staff Council to encourage more robust participation.</w:t>
      </w:r>
    </w:p>
    <w:p w14:paraId="2745738D" w14:textId="17E4B2A5" w:rsidR="00D9350E" w:rsidRDefault="00D9350E" w:rsidP="00D9350E">
      <w:pPr>
        <w:pStyle w:val="ListParagraph"/>
        <w:numPr>
          <w:ilvl w:val="0"/>
          <w:numId w:val="44"/>
        </w:numPr>
        <w:spacing w:after="0" w:line="240" w:lineRule="auto"/>
        <w:rPr>
          <w:rFonts w:ascii="Times New Roman" w:hAnsi="Times New Roman"/>
          <w:sz w:val="24"/>
          <w:szCs w:val="24"/>
        </w:rPr>
      </w:pPr>
      <w:r w:rsidRPr="003B57D6">
        <w:rPr>
          <w:rFonts w:ascii="Times New Roman" w:hAnsi="Times New Roman"/>
          <w:b/>
          <w:bCs/>
          <w:sz w:val="24"/>
          <w:szCs w:val="24"/>
          <w:u w:val="single"/>
        </w:rPr>
        <w:t>Dr. Craig Turner</w:t>
      </w:r>
      <w:r>
        <w:rPr>
          <w:rFonts w:ascii="Times New Roman" w:hAnsi="Times New Roman"/>
          <w:sz w:val="24"/>
          <w:szCs w:val="24"/>
        </w:rPr>
        <w:t>: Dr. Craig Turner has agreed to make himself available, free of charge, to answer questions and provide advice regarding senate matters. The Office of Academic Affairs has a budget to compensate him if he is needed to take on a larger task.</w:t>
      </w:r>
    </w:p>
    <w:bookmarkEnd w:id="0"/>
    <w:p w14:paraId="2E6EAEE2" w14:textId="764430A9" w:rsidR="00D9350E" w:rsidRDefault="00D9350E" w:rsidP="00D9350E">
      <w:pPr>
        <w:pStyle w:val="ListParagraph"/>
        <w:numPr>
          <w:ilvl w:val="0"/>
          <w:numId w:val="44"/>
        </w:numPr>
        <w:spacing w:after="0" w:line="240" w:lineRule="auto"/>
        <w:rPr>
          <w:rFonts w:ascii="Times New Roman" w:hAnsi="Times New Roman"/>
          <w:sz w:val="24"/>
          <w:szCs w:val="24"/>
        </w:rPr>
      </w:pPr>
      <w:r w:rsidRPr="003B57D6">
        <w:rPr>
          <w:rFonts w:ascii="Times New Roman" w:hAnsi="Times New Roman"/>
          <w:b/>
          <w:bCs/>
          <w:sz w:val="24"/>
          <w:szCs w:val="24"/>
          <w:u w:val="single"/>
        </w:rPr>
        <w:t>Faculty Senator Election Materials</w:t>
      </w:r>
      <w:r>
        <w:rPr>
          <w:rFonts w:ascii="Times New Roman" w:hAnsi="Times New Roman"/>
          <w:sz w:val="24"/>
          <w:szCs w:val="24"/>
        </w:rPr>
        <w:t>: After receiving a Corps of Instruction List, SCoN Chair Hauke Busch apportioned the number of senators by academic unit and created elected faculty senator oversight materials.</w:t>
      </w:r>
    </w:p>
    <w:p w14:paraId="6737D297" w14:textId="400FA868" w:rsidR="00D9350E" w:rsidRDefault="00D9350E" w:rsidP="00D9350E">
      <w:pPr>
        <w:pStyle w:val="ListParagraph"/>
        <w:numPr>
          <w:ilvl w:val="0"/>
          <w:numId w:val="44"/>
        </w:numPr>
        <w:spacing w:after="0" w:line="240" w:lineRule="auto"/>
        <w:rPr>
          <w:rFonts w:ascii="Times New Roman" w:hAnsi="Times New Roman"/>
          <w:sz w:val="24"/>
          <w:szCs w:val="24"/>
        </w:rPr>
      </w:pPr>
      <w:r w:rsidRPr="003B57D6">
        <w:rPr>
          <w:rFonts w:ascii="Times New Roman" w:hAnsi="Times New Roman"/>
          <w:b/>
          <w:bCs/>
          <w:sz w:val="24"/>
          <w:szCs w:val="24"/>
          <w:u w:val="single"/>
        </w:rPr>
        <w:t>Governance Calendar</w:t>
      </w:r>
      <w:r>
        <w:rPr>
          <w:rFonts w:ascii="Times New Roman" w:hAnsi="Times New Roman"/>
          <w:sz w:val="24"/>
          <w:szCs w:val="24"/>
        </w:rPr>
        <w:t>: A Governance Calendar Workgroup consisting of David Johnson, Hauke, Busch, Alex Blazer, and Catherine Fowler, will take the initial steps for the 2020-21 Governance Calendar.</w:t>
      </w:r>
    </w:p>
    <w:p w14:paraId="6396D76D" w14:textId="498D2C09" w:rsidR="00D9350E" w:rsidRDefault="00912CF2" w:rsidP="00D9350E">
      <w:pPr>
        <w:pStyle w:val="ListParagraph"/>
        <w:numPr>
          <w:ilvl w:val="0"/>
          <w:numId w:val="44"/>
        </w:numPr>
        <w:spacing w:after="0" w:line="240" w:lineRule="auto"/>
        <w:rPr>
          <w:rFonts w:ascii="Times New Roman" w:hAnsi="Times New Roman"/>
          <w:sz w:val="24"/>
          <w:szCs w:val="24"/>
        </w:rPr>
      </w:pPr>
      <w:r>
        <w:rPr>
          <w:rFonts w:ascii="Times New Roman" w:hAnsi="Times New Roman"/>
          <w:b/>
          <w:bCs/>
          <w:sz w:val="24"/>
          <w:szCs w:val="24"/>
          <w:u w:val="single"/>
        </w:rPr>
        <w:t>Disciplinary Policy</w:t>
      </w:r>
      <w:r w:rsidR="00D9350E">
        <w:rPr>
          <w:rFonts w:ascii="Times New Roman" w:hAnsi="Times New Roman"/>
          <w:sz w:val="24"/>
          <w:szCs w:val="24"/>
        </w:rPr>
        <w:t>: There was additional discussion regarding whether new policies are needed that address anonymous complaints and progressive discipline leading to a faculty member’s dismissal, or regarding the influence of a student by another faculty member or outside source into making a complaint against a faculty member. ECUS decided to bring the matter to standing committee chairs for discussion.</w:t>
      </w:r>
    </w:p>
    <w:p w14:paraId="4A350CA5" w14:textId="346A8795" w:rsidR="0096712D" w:rsidRPr="00D9350E" w:rsidRDefault="00D9350E" w:rsidP="00D9350E">
      <w:pPr>
        <w:pStyle w:val="ListParagraph"/>
        <w:numPr>
          <w:ilvl w:val="0"/>
          <w:numId w:val="44"/>
        </w:numPr>
        <w:rPr>
          <w:rFonts w:ascii="Times New Roman" w:hAnsi="Times New Roman" w:cs="Times New Roman"/>
          <w:b/>
          <w:bCs/>
          <w:sz w:val="24"/>
          <w:szCs w:val="24"/>
        </w:rPr>
      </w:pPr>
      <w:r w:rsidRPr="003B57D6">
        <w:rPr>
          <w:rFonts w:ascii="Times New Roman" w:hAnsi="Times New Roman"/>
          <w:b/>
          <w:bCs/>
          <w:sz w:val="24"/>
          <w:szCs w:val="24"/>
          <w:u w:val="single"/>
        </w:rPr>
        <w:t>New Language in Faculty Contracts</w:t>
      </w:r>
      <w:r>
        <w:rPr>
          <w:rFonts w:ascii="Times New Roman" w:hAnsi="Times New Roman"/>
          <w:sz w:val="24"/>
          <w:szCs w:val="24"/>
        </w:rPr>
        <w:t>: There was additional discussion of the new language in faculty contracts/letters. Provost Spirou said that this was likely due to a more effective system-wide paperless consolidation of contracts that would be fully implemented down the road.</w:t>
      </w:r>
    </w:p>
    <w:p w14:paraId="75E034FE" w14:textId="755F9D0C" w:rsidR="00D9350E" w:rsidRDefault="00D9350E" w:rsidP="00D9350E">
      <w:pPr>
        <w:rPr>
          <w:b/>
          <w:bCs/>
        </w:rPr>
      </w:pPr>
      <w:r>
        <w:rPr>
          <w:b/>
          <w:bCs/>
        </w:rPr>
        <w:t>Academic Policy Committee</w:t>
      </w:r>
      <w:r w:rsidR="00EC6CB3">
        <w:rPr>
          <w:b/>
          <w:bCs/>
        </w:rPr>
        <w:t xml:space="preserve"> (APC)</w:t>
      </w:r>
      <w:r w:rsidR="00EC6CB3" w:rsidRPr="000173B5">
        <w:rPr>
          <w:b/>
          <w:bCs/>
        </w:rPr>
        <w:t xml:space="preserve"> — </w:t>
      </w:r>
      <w:r w:rsidR="00EC6CB3">
        <w:rPr>
          <w:b/>
          <w:bCs/>
        </w:rPr>
        <w:t>Vice-Chair Christina Smith for Chair Nicole DeClouette</w:t>
      </w:r>
    </w:p>
    <w:p w14:paraId="2A23DD81" w14:textId="3CF55CF4" w:rsidR="00D9350E" w:rsidRDefault="00D9350E" w:rsidP="00D9350E">
      <w:pPr>
        <w:rPr>
          <w:b/>
          <w:bCs/>
        </w:rPr>
      </w:pPr>
    </w:p>
    <w:p w14:paraId="3CFAAC2B" w14:textId="5BD7C3B8" w:rsidR="00D9350E" w:rsidRDefault="00D9350E" w:rsidP="00D9350E">
      <w:pPr>
        <w:pStyle w:val="ListParagraph"/>
        <w:numPr>
          <w:ilvl w:val="0"/>
          <w:numId w:val="46"/>
        </w:numPr>
        <w:spacing w:after="160" w:line="256" w:lineRule="auto"/>
        <w:rPr>
          <w:rFonts w:ascii="Times New Roman" w:hAnsi="Times New Roman" w:cs="Times New Roman"/>
          <w:sz w:val="24"/>
          <w:szCs w:val="24"/>
        </w:rPr>
      </w:pPr>
      <w:r w:rsidRPr="003B57D6">
        <w:rPr>
          <w:rFonts w:ascii="Times New Roman" w:hAnsi="Times New Roman" w:cs="Times New Roman"/>
          <w:b/>
          <w:bCs/>
          <w:sz w:val="24"/>
          <w:szCs w:val="24"/>
          <w:u w:val="single"/>
        </w:rPr>
        <w:t xml:space="preserve">Fair Use </w:t>
      </w:r>
      <w:r w:rsidR="00EC6CB3" w:rsidRPr="003B57D6">
        <w:rPr>
          <w:rFonts w:ascii="Times New Roman" w:hAnsi="Times New Roman" w:cs="Times New Roman"/>
          <w:b/>
          <w:bCs/>
          <w:sz w:val="24"/>
          <w:szCs w:val="24"/>
          <w:u w:val="single"/>
        </w:rPr>
        <w:t>L</w:t>
      </w:r>
      <w:r w:rsidRPr="003B57D6">
        <w:rPr>
          <w:rFonts w:ascii="Times New Roman" w:hAnsi="Times New Roman" w:cs="Times New Roman"/>
          <w:b/>
          <w:bCs/>
          <w:sz w:val="24"/>
          <w:szCs w:val="24"/>
          <w:u w:val="single"/>
        </w:rPr>
        <w:t>aws of Online Content</w:t>
      </w:r>
      <w:r w:rsidR="00EC6CB3">
        <w:rPr>
          <w:rFonts w:ascii="Times New Roman" w:hAnsi="Times New Roman" w:cs="Times New Roman"/>
          <w:sz w:val="24"/>
          <w:szCs w:val="24"/>
        </w:rPr>
        <w:t xml:space="preserve">: </w:t>
      </w:r>
      <w:r>
        <w:rPr>
          <w:rFonts w:ascii="Times New Roman" w:hAnsi="Times New Roman" w:cs="Times New Roman"/>
          <w:sz w:val="24"/>
          <w:szCs w:val="24"/>
        </w:rPr>
        <w:t>Because USG has a Copyright Policy and Fair Use Checklist, APC members agreed to there was no need for a GCSU-specific policy. However, the group agreed that two recommendations concerning Fair Use laws of Online Content would assist faculty in being compliant with copyright and fair use laws. Therefore, APC agreed it worthwhile to present the following recommendations to Senate:</w:t>
      </w:r>
    </w:p>
    <w:p w14:paraId="77ABD53E" w14:textId="77777777" w:rsidR="00D9350E" w:rsidRDefault="00D9350E" w:rsidP="00D9350E">
      <w:pPr>
        <w:pStyle w:val="ListParagraph"/>
        <w:numPr>
          <w:ilvl w:val="1"/>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APC recommends that all course home pages on D2L include a copyright notification per the TEACH Act and USG Copyright Policy.</w:t>
      </w:r>
    </w:p>
    <w:p w14:paraId="1620B3BF" w14:textId="77777777" w:rsidR="00D9350E" w:rsidRDefault="00D9350E" w:rsidP="00D9350E">
      <w:pPr>
        <w:pStyle w:val="ListParagraph"/>
        <w:numPr>
          <w:ilvl w:val="1"/>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APC recommends that training for staff and faculty in copyright and fair use law be included in the annual training module conducted on D2L to better educate staff and faculty on USG Copyright Policy.</w:t>
      </w:r>
    </w:p>
    <w:p w14:paraId="7F9C628D" w14:textId="033AF8C8" w:rsidR="00D9350E" w:rsidRDefault="00EC6CB3" w:rsidP="00D9350E">
      <w:pPr>
        <w:pStyle w:val="ListParagraph"/>
        <w:numPr>
          <w:ilvl w:val="0"/>
          <w:numId w:val="46"/>
        </w:numPr>
        <w:spacing w:after="160" w:line="256" w:lineRule="auto"/>
        <w:rPr>
          <w:rFonts w:ascii="Times New Roman" w:hAnsi="Times New Roman" w:cs="Times New Roman"/>
          <w:sz w:val="24"/>
          <w:szCs w:val="24"/>
        </w:rPr>
      </w:pPr>
      <w:r w:rsidRPr="003B57D6">
        <w:rPr>
          <w:rFonts w:ascii="Times New Roman" w:hAnsi="Times New Roman" w:cs="Times New Roman"/>
          <w:b/>
          <w:bCs/>
          <w:sz w:val="24"/>
          <w:szCs w:val="24"/>
          <w:u w:val="single"/>
        </w:rPr>
        <w:t>Plagiarism Policy</w:t>
      </w:r>
      <w:r>
        <w:rPr>
          <w:rFonts w:ascii="Times New Roman" w:hAnsi="Times New Roman" w:cs="Times New Roman"/>
          <w:sz w:val="24"/>
          <w:szCs w:val="24"/>
        </w:rPr>
        <w:t xml:space="preserve">: </w:t>
      </w:r>
      <w:r w:rsidR="00D9350E">
        <w:rPr>
          <w:rFonts w:ascii="Times New Roman" w:hAnsi="Times New Roman" w:cs="Times New Roman"/>
          <w:sz w:val="24"/>
          <w:szCs w:val="24"/>
        </w:rPr>
        <w:t xml:space="preserve">APC held a discussion with Dr. Shawn Brooks, </w:t>
      </w:r>
      <w:r>
        <w:rPr>
          <w:rFonts w:ascii="Times New Roman" w:hAnsi="Times New Roman" w:cs="Times New Roman"/>
          <w:sz w:val="24"/>
          <w:szCs w:val="24"/>
        </w:rPr>
        <w:t>V</w:t>
      </w:r>
      <w:r w:rsidR="00D9350E">
        <w:rPr>
          <w:rFonts w:ascii="Times New Roman" w:hAnsi="Times New Roman" w:cs="Times New Roman"/>
          <w:sz w:val="24"/>
          <w:szCs w:val="24"/>
        </w:rPr>
        <w:t xml:space="preserve">ice </w:t>
      </w:r>
      <w:r>
        <w:rPr>
          <w:rFonts w:ascii="Times New Roman" w:hAnsi="Times New Roman" w:cs="Times New Roman"/>
          <w:sz w:val="24"/>
          <w:szCs w:val="24"/>
        </w:rPr>
        <w:t>P</w:t>
      </w:r>
      <w:r w:rsidR="00D9350E">
        <w:rPr>
          <w:rFonts w:ascii="Times New Roman" w:hAnsi="Times New Roman" w:cs="Times New Roman"/>
          <w:sz w:val="24"/>
          <w:szCs w:val="24"/>
        </w:rPr>
        <w:t xml:space="preserve">resident for Student Life, explaining the role of Student Life within GCSU’s Plagiarism Policy. </w:t>
      </w:r>
    </w:p>
    <w:p w14:paraId="2D7DB5F5" w14:textId="078AF1C9" w:rsidR="00D9350E" w:rsidRDefault="00EC6CB3" w:rsidP="00D9350E">
      <w:pPr>
        <w:pStyle w:val="ListParagraph"/>
        <w:numPr>
          <w:ilvl w:val="0"/>
          <w:numId w:val="46"/>
        </w:numPr>
        <w:spacing w:after="160" w:line="256" w:lineRule="auto"/>
        <w:rPr>
          <w:rFonts w:ascii="Times New Roman" w:hAnsi="Times New Roman" w:cs="Times New Roman"/>
          <w:sz w:val="24"/>
          <w:szCs w:val="24"/>
        </w:rPr>
      </w:pPr>
      <w:r w:rsidRPr="003B57D6">
        <w:rPr>
          <w:rFonts w:ascii="Times New Roman" w:hAnsi="Times New Roman" w:cs="Times New Roman"/>
          <w:b/>
          <w:bCs/>
          <w:sz w:val="24"/>
          <w:szCs w:val="24"/>
          <w:u w:val="single"/>
        </w:rPr>
        <w:t>Student Behavior Policy</w:t>
      </w:r>
      <w:r>
        <w:rPr>
          <w:rFonts w:ascii="Times New Roman" w:hAnsi="Times New Roman" w:cs="Times New Roman"/>
          <w:sz w:val="24"/>
          <w:szCs w:val="24"/>
        </w:rPr>
        <w:t xml:space="preserve">: </w:t>
      </w:r>
      <w:r w:rsidR="00D9350E">
        <w:rPr>
          <w:rFonts w:ascii="Times New Roman" w:hAnsi="Times New Roman" w:cs="Times New Roman"/>
          <w:sz w:val="24"/>
          <w:szCs w:val="24"/>
        </w:rPr>
        <w:t xml:space="preserve">APC members discussed student behavior policies, specifically the filing procedure of an academic grievance against a professor with Dr. Brooks. Dr. Brooks informed the group the filing procedure has changed. He stated members of the GCSU community now have access to a dropdown menu of choices pertaining to grievances of faculty and/or students via the Student Life website. He also </w:t>
      </w:r>
      <w:r w:rsidR="00D9350E">
        <w:rPr>
          <w:rFonts w:ascii="Times New Roman" w:hAnsi="Times New Roman" w:cs="Times New Roman"/>
          <w:sz w:val="24"/>
          <w:szCs w:val="24"/>
        </w:rPr>
        <w:lastRenderedPageBreak/>
        <w:t>shared with the group that a Student Life employee is responsible for reading and directing grievance submissions to the appropriate offices for further handling.</w:t>
      </w:r>
    </w:p>
    <w:p w14:paraId="4ABA3FDC" w14:textId="6FFBB768" w:rsidR="00D9350E" w:rsidRDefault="00EC6CB3" w:rsidP="00D9350E">
      <w:pPr>
        <w:pStyle w:val="ListParagraph"/>
        <w:numPr>
          <w:ilvl w:val="0"/>
          <w:numId w:val="46"/>
        </w:numPr>
        <w:spacing w:after="160" w:line="256" w:lineRule="auto"/>
        <w:rPr>
          <w:rFonts w:ascii="Times New Roman" w:hAnsi="Times New Roman" w:cs="Times New Roman"/>
          <w:sz w:val="24"/>
          <w:szCs w:val="24"/>
        </w:rPr>
      </w:pPr>
      <w:r w:rsidRPr="003B57D6">
        <w:rPr>
          <w:rFonts w:ascii="Times New Roman" w:hAnsi="Times New Roman" w:cs="Times New Roman"/>
          <w:b/>
          <w:bCs/>
          <w:sz w:val="24"/>
          <w:szCs w:val="24"/>
          <w:u w:val="single"/>
        </w:rPr>
        <w:t>Prohibitions and Penalties Code</w:t>
      </w:r>
      <w:r>
        <w:rPr>
          <w:rFonts w:ascii="Times New Roman" w:hAnsi="Times New Roman" w:cs="Times New Roman"/>
          <w:sz w:val="24"/>
          <w:szCs w:val="24"/>
        </w:rPr>
        <w:t xml:space="preserve">: </w:t>
      </w:r>
      <w:r w:rsidR="00D9350E" w:rsidRPr="00EC6CB3">
        <w:rPr>
          <w:rFonts w:ascii="Times New Roman" w:hAnsi="Times New Roman" w:cs="Times New Roman"/>
          <w:sz w:val="24"/>
          <w:szCs w:val="24"/>
        </w:rPr>
        <w:t>APC</w:t>
      </w:r>
      <w:r w:rsidR="00D9350E">
        <w:rPr>
          <w:rFonts w:ascii="Times New Roman" w:hAnsi="Times New Roman" w:cs="Times New Roman"/>
          <w:sz w:val="24"/>
          <w:szCs w:val="24"/>
        </w:rPr>
        <w:t xml:space="preserve"> members held a brief discussion about GCSU’s Prohibitions and Penalties Guide. The group requested inviting a representative from the Human Resources Department and/or the Legal Affairs Department to further discuss the policies pertaining to the guide’s purpose(s) and applicability toward faculty.</w:t>
      </w:r>
    </w:p>
    <w:p w14:paraId="2BFBD43C" w14:textId="5F15E668" w:rsidR="00D9350E" w:rsidRPr="00EC6CB3" w:rsidRDefault="00EC6CB3" w:rsidP="00D9350E">
      <w:pPr>
        <w:rPr>
          <w:b/>
          <w:bCs/>
        </w:rPr>
      </w:pPr>
      <w:r w:rsidRPr="00EC6CB3">
        <w:rPr>
          <w:b/>
          <w:bCs/>
        </w:rPr>
        <w:t>Faculty Affairs Policy Committee (FAPC) — Chair Matt Forrest</w:t>
      </w:r>
    </w:p>
    <w:p w14:paraId="6634FC7F" w14:textId="19C77060" w:rsidR="00EC6CB3" w:rsidRPr="00EC6CB3" w:rsidRDefault="00EC6CB3" w:rsidP="00D9350E">
      <w:pPr>
        <w:rPr>
          <w:b/>
          <w:bCs/>
        </w:rPr>
      </w:pPr>
    </w:p>
    <w:p w14:paraId="6B95B7F8" w14:textId="37F2D647" w:rsidR="00EC6CB3" w:rsidRPr="00EC6CB3" w:rsidRDefault="00EC6CB3" w:rsidP="00EC6CB3">
      <w:pPr>
        <w:pStyle w:val="ListParagraph"/>
        <w:numPr>
          <w:ilvl w:val="0"/>
          <w:numId w:val="47"/>
        </w:numPr>
        <w:rPr>
          <w:rFonts w:ascii="Times New Roman" w:hAnsi="Times New Roman" w:cs="Times New Roman"/>
          <w:sz w:val="24"/>
          <w:szCs w:val="24"/>
        </w:rPr>
      </w:pPr>
      <w:r w:rsidRPr="003B57D6">
        <w:rPr>
          <w:rFonts w:ascii="Times New Roman" w:hAnsi="Times New Roman" w:cs="Times New Roman"/>
          <w:b/>
          <w:bCs/>
          <w:sz w:val="24"/>
          <w:szCs w:val="24"/>
          <w:u w:val="single"/>
        </w:rPr>
        <w:t>Meeting Cancelled</w:t>
      </w:r>
      <w:r>
        <w:rPr>
          <w:rFonts w:ascii="Times New Roman" w:hAnsi="Times New Roman" w:cs="Times New Roman"/>
          <w:sz w:val="24"/>
          <w:szCs w:val="24"/>
        </w:rPr>
        <w:t xml:space="preserve">: </w:t>
      </w:r>
      <w:r w:rsidR="00E2283B">
        <w:rPr>
          <w:rFonts w:ascii="Times New Roman" w:hAnsi="Times New Roman" w:cs="Times New Roman"/>
          <w:sz w:val="24"/>
          <w:szCs w:val="24"/>
        </w:rPr>
        <w:t>FAPC did not meet for its previously scheduled 4 Oct 2019 2:00-3:15 p.m. meeting.</w:t>
      </w:r>
      <w:r>
        <w:rPr>
          <w:rFonts w:ascii="Times New Roman" w:hAnsi="Times New Roman" w:cs="Times New Roman"/>
          <w:sz w:val="24"/>
          <w:szCs w:val="24"/>
        </w:rPr>
        <w:t xml:space="preserve"> </w:t>
      </w:r>
    </w:p>
    <w:p w14:paraId="5AF12E5C" w14:textId="1DC523CF" w:rsidR="00EC6CB3" w:rsidRPr="00EC6CB3" w:rsidRDefault="00EC6CB3" w:rsidP="00EC6CB3">
      <w:pPr>
        <w:pStyle w:val="ListParagraph"/>
        <w:numPr>
          <w:ilvl w:val="0"/>
          <w:numId w:val="47"/>
        </w:numPr>
        <w:rPr>
          <w:rFonts w:ascii="Times New Roman" w:hAnsi="Times New Roman" w:cs="Times New Roman"/>
          <w:sz w:val="24"/>
          <w:szCs w:val="24"/>
        </w:rPr>
      </w:pPr>
      <w:r w:rsidRPr="003B57D6">
        <w:rPr>
          <w:rFonts w:ascii="Times New Roman" w:hAnsi="Times New Roman" w:cs="Times New Roman"/>
          <w:b/>
          <w:bCs/>
          <w:sz w:val="24"/>
          <w:szCs w:val="24"/>
          <w:u w:val="single"/>
        </w:rPr>
        <w:t>Faculty Research Funds Policy</w:t>
      </w:r>
      <w:r w:rsidRPr="00EC6CB3">
        <w:rPr>
          <w:rFonts w:ascii="Times New Roman" w:hAnsi="Times New Roman" w:cs="Times New Roman"/>
          <w:sz w:val="24"/>
          <w:szCs w:val="24"/>
        </w:rPr>
        <w:t>: Director for the Center for Teaching and Learning Jim Berger set up a meeting with Matt Forrest to discuss a faculty research funds policy.</w:t>
      </w:r>
    </w:p>
    <w:p w14:paraId="5064B631" w14:textId="4C7C35C1" w:rsidR="00E2283B" w:rsidRDefault="00E2283B">
      <w:pPr>
        <w:rPr>
          <w:b/>
          <w:bCs/>
        </w:rPr>
      </w:pPr>
      <w:r>
        <w:rPr>
          <w:b/>
          <w:bCs/>
        </w:rPr>
        <w:t>Resources, Planning and Institutional Policy Committee (RPIPC)</w:t>
      </w:r>
      <w:r w:rsidRPr="00EC6CB3">
        <w:rPr>
          <w:b/>
          <w:bCs/>
        </w:rPr>
        <w:t xml:space="preserve"> — </w:t>
      </w:r>
      <w:r>
        <w:rPr>
          <w:b/>
          <w:bCs/>
        </w:rPr>
        <w:t xml:space="preserve">Chair Sabrina Hom </w:t>
      </w:r>
    </w:p>
    <w:p w14:paraId="51077034" w14:textId="77777777" w:rsidR="00E2283B" w:rsidRPr="00EC6CB3" w:rsidRDefault="00E2283B" w:rsidP="00E2283B">
      <w:pPr>
        <w:rPr>
          <w:b/>
          <w:bCs/>
        </w:rPr>
      </w:pPr>
    </w:p>
    <w:p w14:paraId="256849A4" w14:textId="643A4562" w:rsidR="00E2283B" w:rsidRPr="00EC6CB3" w:rsidRDefault="00E2283B" w:rsidP="00E2283B">
      <w:pPr>
        <w:pStyle w:val="ListParagraph"/>
        <w:numPr>
          <w:ilvl w:val="0"/>
          <w:numId w:val="48"/>
        </w:numPr>
        <w:rPr>
          <w:rFonts w:ascii="Times New Roman" w:hAnsi="Times New Roman" w:cs="Times New Roman"/>
          <w:sz w:val="24"/>
          <w:szCs w:val="24"/>
        </w:rPr>
      </w:pPr>
      <w:r w:rsidRPr="003B57D6">
        <w:rPr>
          <w:rFonts w:ascii="Times New Roman" w:hAnsi="Times New Roman" w:cs="Times New Roman"/>
          <w:b/>
          <w:bCs/>
          <w:sz w:val="24"/>
          <w:szCs w:val="24"/>
          <w:u w:val="single"/>
        </w:rPr>
        <w:t>Meeting Cancelled</w:t>
      </w:r>
      <w:r>
        <w:rPr>
          <w:rFonts w:ascii="Times New Roman" w:hAnsi="Times New Roman" w:cs="Times New Roman"/>
          <w:sz w:val="24"/>
          <w:szCs w:val="24"/>
        </w:rPr>
        <w:t xml:space="preserve">: RPIPC did not meet for its previously scheduled 4 Oct 2019 2:00-3:15 p.m. meeting. </w:t>
      </w:r>
    </w:p>
    <w:p w14:paraId="679BE728" w14:textId="5080D348" w:rsidR="008868CB" w:rsidRPr="00A52CFD" w:rsidRDefault="00A52CFD" w:rsidP="008868CB">
      <w:pPr>
        <w:rPr>
          <w:b/>
          <w:bCs/>
        </w:rPr>
      </w:pPr>
      <w:bookmarkStart w:id="1" w:name="_GoBack"/>
      <w:bookmarkEnd w:id="1"/>
      <w:r w:rsidRPr="00A52CFD">
        <w:rPr>
          <w:b/>
          <w:bCs/>
        </w:rPr>
        <w:t>VI. New Business</w:t>
      </w:r>
    </w:p>
    <w:p w14:paraId="79364081" w14:textId="0F79EB69" w:rsidR="00A52CFD" w:rsidRDefault="00A52CFD" w:rsidP="008868CB"/>
    <w:p w14:paraId="5348E27A" w14:textId="36D7AE9D" w:rsidR="00A52CFD" w:rsidRDefault="00A52CFD" w:rsidP="008868CB">
      <w:r>
        <w:rPr>
          <w:b/>
          <w:bCs/>
        </w:rPr>
        <w:t>Steering of Items to Committees</w:t>
      </w:r>
    </w:p>
    <w:p w14:paraId="0B52918F" w14:textId="79A6CA3A" w:rsidR="00A52CFD" w:rsidRDefault="00A52CFD" w:rsidP="008868CB"/>
    <w:p w14:paraId="0EA90484" w14:textId="46F7ED13" w:rsidR="00A52CFD" w:rsidRPr="00A52CFD" w:rsidRDefault="00A52CFD" w:rsidP="008868CB">
      <w:r>
        <w:t>At the time of this meeting, there were no items that required steering to a committee.</w:t>
      </w:r>
    </w:p>
    <w:p w14:paraId="650EC7BD" w14:textId="304EC945" w:rsidR="00A52CFD" w:rsidRDefault="00A52CFD" w:rsidP="008868CB"/>
    <w:p w14:paraId="598C2DF6" w14:textId="4DEEB3E0" w:rsidR="00A52CFD" w:rsidRPr="00A52CFD" w:rsidRDefault="00A52CFD" w:rsidP="008868CB">
      <w:pPr>
        <w:rPr>
          <w:b/>
          <w:bCs/>
        </w:rPr>
      </w:pPr>
      <w:r w:rsidRPr="00A52CFD">
        <w:rPr>
          <w:b/>
          <w:bCs/>
        </w:rPr>
        <w:t>University Senate Agenda and Minutes Review</w:t>
      </w:r>
    </w:p>
    <w:p w14:paraId="3FA74F9F" w14:textId="5977877E" w:rsidR="00A52CFD" w:rsidRDefault="00A52CFD" w:rsidP="008868CB"/>
    <w:p w14:paraId="5995D4EC" w14:textId="48964C5B" w:rsidR="00A52CFD" w:rsidRPr="00231565" w:rsidRDefault="00A52CFD" w:rsidP="00231565">
      <w:pPr>
        <w:pStyle w:val="ListParagraph"/>
        <w:numPr>
          <w:ilvl w:val="0"/>
          <w:numId w:val="50"/>
        </w:numPr>
        <w:rPr>
          <w:rFonts w:ascii="Times New Roman" w:hAnsi="Times New Roman" w:cs="Times New Roman"/>
          <w:b/>
          <w:bCs/>
          <w:sz w:val="24"/>
          <w:szCs w:val="24"/>
          <w:u w:val="single"/>
        </w:rPr>
      </w:pPr>
      <w:r w:rsidRPr="00231565">
        <w:rPr>
          <w:rFonts w:ascii="Times New Roman" w:hAnsi="Times New Roman" w:cs="Times New Roman"/>
          <w:b/>
          <w:bCs/>
          <w:sz w:val="24"/>
          <w:szCs w:val="24"/>
          <w:u w:val="single"/>
        </w:rPr>
        <w:t>Tentative Agenda 18 Oct 2019</w:t>
      </w:r>
    </w:p>
    <w:p w14:paraId="2F9BEF69" w14:textId="2953DC6E" w:rsidR="00231565" w:rsidRDefault="00A52CFD" w:rsidP="00231565">
      <w:pPr>
        <w:pStyle w:val="ListParagraph"/>
        <w:numPr>
          <w:ilvl w:val="1"/>
          <w:numId w:val="50"/>
        </w:numPr>
        <w:rPr>
          <w:rFonts w:ascii="Times New Roman" w:hAnsi="Times New Roman" w:cs="Times New Roman"/>
          <w:sz w:val="24"/>
          <w:szCs w:val="24"/>
        </w:rPr>
      </w:pPr>
      <w:r w:rsidRPr="00231565">
        <w:rPr>
          <w:rFonts w:ascii="Times New Roman" w:hAnsi="Times New Roman" w:cs="Times New Roman"/>
          <w:b/>
          <w:bCs/>
          <w:sz w:val="24"/>
          <w:szCs w:val="24"/>
          <w:u w:val="single"/>
        </w:rPr>
        <w:t>Motions</w:t>
      </w:r>
      <w:r w:rsidR="00231565">
        <w:rPr>
          <w:rFonts w:ascii="Times New Roman" w:hAnsi="Times New Roman" w:cs="Times New Roman"/>
          <w:b/>
          <w:bCs/>
          <w:sz w:val="24"/>
          <w:szCs w:val="24"/>
        </w:rPr>
        <w:t xml:space="preserve"> </w:t>
      </w:r>
      <w:r w:rsidR="00231565">
        <w:rPr>
          <w:rFonts w:ascii="Times New Roman" w:hAnsi="Times New Roman" w:cs="Times New Roman"/>
          <w:sz w:val="24"/>
          <w:szCs w:val="24"/>
        </w:rPr>
        <w:t>There will be three motions on the agenda of this meeting of University Senate, specifically</w:t>
      </w:r>
    </w:p>
    <w:p w14:paraId="48FC2B1B" w14:textId="6E6B90B9" w:rsidR="00A52CFD" w:rsidRPr="00231565" w:rsidRDefault="00A52CFD" w:rsidP="00231565">
      <w:pPr>
        <w:pStyle w:val="ListParagraph"/>
        <w:numPr>
          <w:ilvl w:val="2"/>
          <w:numId w:val="50"/>
        </w:numPr>
        <w:rPr>
          <w:rFonts w:ascii="Times New Roman" w:hAnsi="Times New Roman" w:cs="Times New Roman"/>
          <w:sz w:val="24"/>
          <w:szCs w:val="24"/>
        </w:rPr>
      </w:pPr>
      <w:r w:rsidRPr="00231565">
        <w:rPr>
          <w:rFonts w:ascii="Times New Roman" w:hAnsi="Times New Roman" w:cs="Times New Roman"/>
          <w:sz w:val="24"/>
          <w:szCs w:val="24"/>
        </w:rPr>
        <w:t>ECUS: Revised University Senate Handbook</w:t>
      </w:r>
    </w:p>
    <w:p w14:paraId="391FC4BB" w14:textId="53CCD14F" w:rsidR="00A52CFD" w:rsidRPr="00231565" w:rsidRDefault="00A52CFD" w:rsidP="00231565">
      <w:pPr>
        <w:pStyle w:val="ListParagraph"/>
        <w:numPr>
          <w:ilvl w:val="2"/>
          <w:numId w:val="50"/>
        </w:numPr>
        <w:rPr>
          <w:rFonts w:ascii="Times New Roman" w:hAnsi="Times New Roman" w:cs="Times New Roman"/>
          <w:sz w:val="24"/>
          <w:szCs w:val="24"/>
        </w:rPr>
      </w:pPr>
      <w:r w:rsidRPr="00231565">
        <w:rPr>
          <w:rFonts w:ascii="Times New Roman" w:hAnsi="Times New Roman" w:cs="Times New Roman"/>
          <w:sz w:val="24"/>
          <w:szCs w:val="24"/>
        </w:rPr>
        <w:t>SCoN: Committee Replacements</w:t>
      </w:r>
    </w:p>
    <w:p w14:paraId="7386B5AA" w14:textId="7F888C31" w:rsidR="00A52CFD" w:rsidRPr="00231565" w:rsidRDefault="00A52CFD" w:rsidP="00231565">
      <w:pPr>
        <w:pStyle w:val="ListParagraph"/>
        <w:numPr>
          <w:ilvl w:val="2"/>
          <w:numId w:val="50"/>
        </w:numPr>
        <w:rPr>
          <w:rFonts w:ascii="Times New Roman" w:hAnsi="Times New Roman" w:cs="Times New Roman"/>
          <w:sz w:val="24"/>
          <w:szCs w:val="24"/>
        </w:rPr>
      </w:pPr>
      <w:r w:rsidRPr="00231565">
        <w:rPr>
          <w:rFonts w:ascii="Times New Roman" w:hAnsi="Times New Roman" w:cs="Times New Roman"/>
          <w:sz w:val="24"/>
          <w:szCs w:val="24"/>
        </w:rPr>
        <w:t>SAPC: Revised Statement of Non-Discrimination</w:t>
      </w:r>
      <w:r w:rsidR="00231565">
        <w:rPr>
          <w:rFonts w:ascii="Times New Roman" w:hAnsi="Times New Roman" w:cs="Times New Roman"/>
          <w:sz w:val="24"/>
          <w:szCs w:val="24"/>
        </w:rPr>
        <w:t>.</w:t>
      </w:r>
    </w:p>
    <w:p w14:paraId="2CF64676" w14:textId="77475F40" w:rsidR="00A52CFD" w:rsidRPr="00231565" w:rsidRDefault="00A52CFD" w:rsidP="00231565">
      <w:pPr>
        <w:pStyle w:val="ListParagraph"/>
        <w:numPr>
          <w:ilvl w:val="1"/>
          <w:numId w:val="50"/>
        </w:numPr>
        <w:rPr>
          <w:rFonts w:ascii="Times New Roman" w:hAnsi="Times New Roman" w:cs="Times New Roman"/>
          <w:b/>
          <w:bCs/>
          <w:sz w:val="24"/>
          <w:szCs w:val="24"/>
          <w:u w:val="single"/>
        </w:rPr>
      </w:pPr>
      <w:r w:rsidRPr="00231565">
        <w:rPr>
          <w:rFonts w:ascii="Times New Roman" w:hAnsi="Times New Roman" w:cs="Times New Roman"/>
          <w:b/>
          <w:bCs/>
          <w:sz w:val="24"/>
          <w:szCs w:val="24"/>
          <w:u w:val="single"/>
        </w:rPr>
        <w:t>Reports</w:t>
      </w:r>
      <w:r w:rsidR="00231565">
        <w:rPr>
          <w:rFonts w:ascii="Times New Roman" w:hAnsi="Times New Roman" w:cs="Times New Roman"/>
          <w:sz w:val="24"/>
          <w:szCs w:val="24"/>
        </w:rPr>
        <w:t xml:space="preserve"> Administrative reports and committee reports will also be agenda items.</w:t>
      </w:r>
    </w:p>
    <w:p w14:paraId="32DCFAFF" w14:textId="0BA3647A" w:rsidR="00A52CFD" w:rsidRPr="00231565" w:rsidRDefault="00A52CFD" w:rsidP="00231565">
      <w:pPr>
        <w:pStyle w:val="ListParagraph"/>
        <w:numPr>
          <w:ilvl w:val="1"/>
          <w:numId w:val="50"/>
        </w:numPr>
        <w:rPr>
          <w:rFonts w:ascii="Times New Roman" w:hAnsi="Times New Roman" w:cs="Times New Roman"/>
          <w:b/>
          <w:bCs/>
          <w:sz w:val="24"/>
          <w:szCs w:val="24"/>
          <w:u w:val="single"/>
        </w:rPr>
      </w:pPr>
      <w:r w:rsidRPr="00231565">
        <w:rPr>
          <w:rFonts w:ascii="Times New Roman" w:hAnsi="Times New Roman" w:cs="Times New Roman"/>
          <w:b/>
          <w:bCs/>
          <w:sz w:val="24"/>
          <w:szCs w:val="24"/>
          <w:u w:val="single"/>
        </w:rPr>
        <w:t>Supplemental Items of Business</w:t>
      </w:r>
    </w:p>
    <w:p w14:paraId="16525232" w14:textId="4DF9481E" w:rsidR="00A52CFD" w:rsidRPr="00231565" w:rsidRDefault="00A52CFD" w:rsidP="00231565">
      <w:pPr>
        <w:pStyle w:val="ListParagraph"/>
        <w:numPr>
          <w:ilvl w:val="2"/>
          <w:numId w:val="50"/>
        </w:numPr>
        <w:rPr>
          <w:rFonts w:ascii="Times New Roman" w:hAnsi="Times New Roman" w:cs="Times New Roman"/>
          <w:sz w:val="24"/>
          <w:szCs w:val="24"/>
        </w:rPr>
      </w:pPr>
      <w:r w:rsidRPr="00231565">
        <w:rPr>
          <w:rFonts w:ascii="Times New Roman" w:hAnsi="Times New Roman" w:cs="Times New Roman"/>
          <w:sz w:val="24"/>
          <w:szCs w:val="24"/>
        </w:rPr>
        <w:t>Awarding of University Senator Pins</w:t>
      </w:r>
    </w:p>
    <w:p w14:paraId="07E09679" w14:textId="71368E3B" w:rsidR="00A52CFD" w:rsidRPr="00231565" w:rsidRDefault="00A52CFD" w:rsidP="00231565">
      <w:pPr>
        <w:pStyle w:val="ListParagraph"/>
        <w:numPr>
          <w:ilvl w:val="2"/>
          <w:numId w:val="50"/>
        </w:numPr>
        <w:rPr>
          <w:rFonts w:ascii="Times New Roman" w:hAnsi="Times New Roman" w:cs="Times New Roman"/>
          <w:sz w:val="24"/>
          <w:szCs w:val="24"/>
        </w:rPr>
      </w:pPr>
      <w:r w:rsidRPr="00231565">
        <w:rPr>
          <w:rFonts w:ascii="Times New Roman" w:hAnsi="Times New Roman" w:cs="Times New Roman"/>
          <w:sz w:val="24"/>
          <w:szCs w:val="24"/>
        </w:rPr>
        <w:t>Jim Berger, Director of Center for Teaching and Learning</w:t>
      </w:r>
    </w:p>
    <w:p w14:paraId="54FB65EB" w14:textId="34772937" w:rsidR="00231565" w:rsidRPr="00231565" w:rsidRDefault="00231565" w:rsidP="00231565">
      <w:pPr>
        <w:pStyle w:val="ListParagraph"/>
        <w:numPr>
          <w:ilvl w:val="2"/>
          <w:numId w:val="50"/>
        </w:numPr>
      </w:pPr>
      <w:r w:rsidRPr="00231565">
        <w:rPr>
          <w:rFonts w:ascii="Times New Roman" w:hAnsi="Times New Roman" w:cs="Times New Roman"/>
          <w:sz w:val="24"/>
          <w:szCs w:val="24"/>
        </w:rPr>
        <w:t>Jennifer Townes, Scholarly Communications Librarian</w:t>
      </w:r>
    </w:p>
    <w:p w14:paraId="5A74EEBB" w14:textId="7128ACD5" w:rsidR="00231565" w:rsidRDefault="00231565" w:rsidP="00231565">
      <w:pPr>
        <w:pStyle w:val="ListParagraph"/>
        <w:numPr>
          <w:ilvl w:val="0"/>
          <w:numId w:val="50"/>
        </w:numPr>
      </w:pPr>
      <w:r w:rsidRPr="00231565">
        <w:rPr>
          <w:rFonts w:ascii="Times New Roman" w:hAnsi="Times New Roman" w:cs="Times New Roman"/>
          <w:b/>
          <w:bCs/>
          <w:sz w:val="24"/>
          <w:szCs w:val="24"/>
          <w:u w:val="single"/>
        </w:rPr>
        <w:t>University Senate Minutes Review</w:t>
      </w:r>
      <w:r>
        <w:rPr>
          <w:rFonts w:ascii="Times New Roman" w:hAnsi="Times New Roman" w:cs="Times New Roman"/>
          <w:sz w:val="24"/>
          <w:szCs w:val="24"/>
        </w:rPr>
        <w:t xml:space="preserve"> A </w:t>
      </w:r>
      <w:r w:rsidRPr="00231565">
        <w:rPr>
          <w:rFonts w:ascii="Times New Roman" w:hAnsi="Times New Roman" w:cs="Times New Roman"/>
          <w:b/>
          <w:bCs/>
          <w:sz w:val="24"/>
          <w:szCs w:val="24"/>
          <w:u w:val="single"/>
        </w:rPr>
        <w:t>Motion</w:t>
      </w:r>
      <w:r>
        <w:rPr>
          <w:rFonts w:ascii="Times New Roman" w:hAnsi="Times New Roman" w:cs="Times New Roman"/>
          <w:sz w:val="24"/>
          <w:szCs w:val="24"/>
        </w:rPr>
        <w:t xml:space="preserve"> </w:t>
      </w:r>
      <w:r>
        <w:rPr>
          <w:rFonts w:ascii="Times New Roman" w:hAnsi="Times New Roman" w:cs="Times New Roman"/>
          <w:i/>
          <w:iCs/>
          <w:sz w:val="24"/>
          <w:szCs w:val="24"/>
        </w:rPr>
        <w:t>that the DRAFT minutes of the 20 September 2019 meeting of the 2019-2020 University Senate be circulated for university senator review</w:t>
      </w:r>
      <w:r>
        <w:rPr>
          <w:rFonts w:ascii="Times New Roman" w:hAnsi="Times New Roman" w:cs="Times New Roman"/>
          <w:sz w:val="24"/>
          <w:szCs w:val="24"/>
        </w:rPr>
        <w:t xml:space="preserve"> was made and seconded.</w:t>
      </w:r>
      <w:r w:rsidR="00EF76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565">
        <w:rPr>
          <w:rFonts w:ascii="Times New Roman" w:hAnsi="Times New Roman" w:cs="Times New Roman"/>
          <w:color w:val="FF0000"/>
          <w:sz w:val="24"/>
          <w:szCs w:val="24"/>
        </w:rPr>
        <w:t>The motion to circulate the minutes was approved.</w:t>
      </w:r>
    </w:p>
    <w:p w14:paraId="195EFA1D" w14:textId="7D33DE63" w:rsidR="008868CB" w:rsidRPr="006D140E" w:rsidRDefault="001214C4" w:rsidP="008868CB">
      <w:pPr>
        <w:rPr>
          <w:b/>
          <w:bCs/>
        </w:rPr>
      </w:pPr>
      <w:r>
        <w:rPr>
          <w:b/>
          <w:bCs/>
        </w:rPr>
        <w:t xml:space="preserve">VII. </w:t>
      </w:r>
      <w:r w:rsidR="008868CB" w:rsidRPr="006D140E">
        <w:rPr>
          <w:b/>
          <w:bCs/>
        </w:rPr>
        <w:t>Next Meeting</w:t>
      </w:r>
    </w:p>
    <w:p w14:paraId="65BCEC5C" w14:textId="1BC47990" w:rsidR="008868CB" w:rsidRPr="006D140E" w:rsidRDefault="008868CB" w:rsidP="008868CB"/>
    <w:p w14:paraId="7128CA3D" w14:textId="77777777" w:rsidR="008868CB" w:rsidRPr="003B57D6" w:rsidRDefault="008868CB" w:rsidP="008868CB">
      <w:pPr>
        <w:pStyle w:val="ListParagraph"/>
        <w:numPr>
          <w:ilvl w:val="0"/>
          <w:numId w:val="38"/>
        </w:numPr>
        <w:rPr>
          <w:rFonts w:ascii="Times New Roman" w:hAnsi="Times New Roman" w:cs="Times New Roman"/>
          <w:sz w:val="24"/>
          <w:szCs w:val="24"/>
          <w:u w:val="single"/>
        </w:rPr>
      </w:pPr>
      <w:r w:rsidRPr="003B57D6">
        <w:rPr>
          <w:rFonts w:ascii="Times New Roman" w:hAnsi="Times New Roman" w:cs="Times New Roman"/>
          <w:b/>
          <w:bCs/>
          <w:sz w:val="24"/>
          <w:szCs w:val="24"/>
          <w:u w:val="single"/>
        </w:rPr>
        <w:t>Calendar</w:t>
      </w:r>
    </w:p>
    <w:p w14:paraId="1FFEBEBF" w14:textId="77777777" w:rsidR="008868CB" w:rsidRPr="006D140E" w:rsidRDefault="008868CB" w:rsidP="008868CB">
      <w:pPr>
        <w:pStyle w:val="ListParagraph"/>
        <w:numPr>
          <w:ilvl w:val="1"/>
          <w:numId w:val="38"/>
        </w:numPr>
        <w:rPr>
          <w:rFonts w:ascii="Times New Roman" w:hAnsi="Times New Roman" w:cs="Times New Roman"/>
          <w:sz w:val="24"/>
          <w:szCs w:val="24"/>
        </w:rPr>
      </w:pPr>
      <w:r w:rsidRPr="006D140E">
        <w:rPr>
          <w:rFonts w:ascii="Times New Roman" w:hAnsi="Times New Roman" w:cs="Times New Roman"/>
          <w:sz w:val="24"/>
          <w:szCs w:val="24"/>
        </w:rPr>
        <w:t>University Senate Meeting – Friday, October 18, 3:30 p.m., A&amp;S 2-72</w:t>
      </w:r>
    </w:p>
    <w:p w14:paraId="029DE151" w14:textId="77777777" w:rsidR="008868CB" w:rsidRPr="006D140E" w:rsidRDefault="008868CB" w:rsidP="008868CB">
      <w:pPr>
        <w:pStyle w:val="ListParagraph"/>
        <w:numPr>
          <w:ilvl w:val="1"/>
          <w:numId w:val="38"/>
        </w:numPr>
        <w:rPr>
          <w:rFonts w:ascii="Times New Roman" w:hAnsi="Times New Roman" w:cs="Times New Roman"/>
          <w:sz w:val="24"/>
          <w:szCs w:val="24"/>
        </w:rPr>
      </w:pPr>
      <w:r w:rsidRPr="006D140E">
        <w:rPr>
          <w:rFonts w:ascii="Times New Roman" w:hAnsi="Times New Roman" w:cs="Times New Roman"/>
          <w:sz w:val="24"/>
          <w:szCs w:val="24"/>
        </w:rPr>
        <w:t>ECUS Meeting – Friday, November 1, 2:00 p.m., Parks Hall 301</w:t>
      </w:r>
    </w:p>
    <w:p w14:paraId="5B78519E" w14:textId="2B84DED0" w:rsidR="008868CB" w:rsidRPr="006D140E" w:rsidRDefault="008868CB" w:rsidP="008868CB">
      <w:pPr>
        <w:pStyle w:val="ListParagraph"/>
        <w:numPr>
          <w:ilvl w:val="1"/>
          <w:numId w:val="38"/>
        </w:numPr>
        <w:rPr>
          <w:rFonts w:ascii="Times New Roman" w:hAnsi="Times New Roman" w:cs="Times New Roman"/>
          <w:sz w:val="24"/>
          <w:szCs w:val="24"/>
        </w:rPr>
      </w:pPr>
      <w:r w:rsidRPr="006D140E">
        <w:rPr>
          <w:rFonts w:ascii="Times New Roman" w:hAnsi="Times New Roman" w:cs="Times New Roman"/>
          <w:sz w:val="24"/>
          <w:szCs w:val="24"/>
        </w:rPr>
        <w:t>ECUS+SCC Meeting – Friday, November 1, 3:30 p.m., Park Hall 301</w:t>
      </w:r>
    </w:p>
    <w:p w14:paraId="23649A52" w14:textId="407B4B42" w:rsidR="008868CB" w:rsidRPr="006D140E" w:rsidRDefault="008868CB" w:rsidP="008868CB">
      <w:pPr>
        <w:pStyle w:val="ListParagraph"/>
        <w:numPr>
          <w:ilvl w:val="0"/>
          <w:numId w:val="38"/>
        </w:numPr>
        <w:rPr>
          <w:rFonts w:ascii="Times New Roman" w:hAnsi="Times New Roman" w:cs="Times New Roman"/>
          <w:b/>
          <w:bCs/>
          <w:sz w:val="24"/>
          <w:szCs w:val="24"/>
        </w:rPr>
      </w:pPr>
      <w:r w:rsidRPr="003B57D6">
        <w:rPr>
          <w:rFonts w:ascii="Times New Roman" w:hAnsi="Times New Roman" w:cs="Times New Roman"/>
          <w:b/>
          <w:bCs/>
          <w:sz w:val="24"/>
          <w:szCs w:val="24"/>
          <w:u w:val="single"/>
        </w:rPr>
        <w:t>Tentative Agenda</w:t>
      </w:r>
      <w:r w:rsidRPr="006D140E">
        <w:rPr>
          <w:rFonts w:ascii="Times New Roman" w:hAnsi="Times New Roman" w:cs="Times New Roman"/>
          <w:sz w:val="24"/>
          <w:szCs w:val="24"/>
        </w:rPr>
        <w:t>: Some of the deliberation today may have generated tentative agenda items for ECUS and ECUS-SCC meetings.</w:t>
      </w:r>
      <w:r w:rsidR="00EF76A9">
        <w:rPr>
          <w:rFonts w:ascii="Times New Roman" w:hAnsi="Times New Roman" w:cs="Times New Roman"/>
          <w:sz w:val="24"/>
          <w:szCs w:val="24"/>
        </w:rPr>
        <w:t xml:space="preserve"> </w:t>
      </w:r>
      <w:r w:rsidRPr="006D140E">
        <w:rPr>
          <w:rFonts w:ascii="Times New Roman" w:hAnsi="Times New Roman" w:cs="Times New Roman"/>
          <w:sz w:val="24"/>
          <w:szCs w:val="24"/>
        </w:rPr>
        <w:t xml:space="preserve"> </w:t>
      </w:r>
      <w:r w:rsidRPr="006D140E">
        <w:rPr>
          <w:rFonts w:ascii="Times New Roman" w:hAnsi="Times New Roman" w:cs="Times New Roman"/>
          <w:sz w:val="24"/>
          <w:szCs w:val="24"/>
          <w:highlight w:val="yellow"/>
        </w:rPr>
        <w:t>David Johnson will ensure that such items (if any) added are added to the agenda of a future meeting of ECUS or ECUS-SCC.</w:t>
      </w:r>
      <w:r w:rsidRPr="006D140E">
        <w:rPr>
          <w:rFonts w:ascii="Times New Roman" w:hAnsi="Times New Roman" w:cs="Times New Roman"/>
          <w:sz w:val="24"/>
          <w:szCs w:val="24"/>
        </w:rPr>
        <w:t xml:space="preserve"> </w:t>
      </w:r>
    </w:p>
    <w:p w14:paraId="350D7BAD" w14:textId="696DDDDB" w:rsidR="008868CB" w:rsidRPr="006D140E" w:rsidRDefault="004606B0" w:rsidP="008868CB">
      <w:pPr>
        <w:rPr>
          <w:b/>
          <w:bCs/>
          <w:color w:val="FF0000"/>
        </w:rPr>
      </w:pPr>
      <w:r>
        <w:rPr>
          <w:b/>
          <w:bCs/>
        </w:rPr>
        <w:t xml:space="preserve">VIII. </w:t>
      </w:r>
      <w:r w:rsidR="008868CB" w:rsidRPr="006D140E">
        <w:rPr>
          <w:b/>
          <w:bCs/>
        </w:rPr>
        <w:t xml:space="preserve">Adjournment: </w:t>
      </w:r>
      <w:r w:rsidR="008868CB" w:rsidRPr="006D140E">
        <w:t xml:space="preserve">As there was no further business to consider, a </w:t>
      </w:r>
      <w:r w:rsidR="008868CB" w:rsidRPr="006D140E">
        <w:rPr>
          <w:b/>
          <w:u w:val="single"/>
        </w:rPr>
        <w:t>Motion</w:t>
      </w:r>
      <w:r w:rsidR="008868CB" w:rsidRPr="006D140E">
        <w:t xml:space="preserve"> </w:t>
      </w:r>
      <w:r w:rsidR="008868CB" w:rsidRPr="006D140E">
        <w:rPr>
          <w:i/>
        </w:rPr>
        <w:t>to adjourn the meeting</w:t>
      </w:r>
      <w:r w:rsidR="008868CB" w:rsidRPr="006D140E">
        <w:t xml:space="preserve"> was made and seconded. </w:t>
      </w:r>
      <w:r w:rsidR="008868CB" w:rsidRPr="006D140E">
        <w:rPr>
          <w:color w:val="FF0000"/>
        </w:rPr>
        <w:t xml:space="preserve">The motion to adjourn was approved and the meeting adjourned at </w:t>
      </w:r>
      <w:r w:rsidR="001214C4">
        <w:rPr>
          <w:color w:val="FF0000"/>
        </w:rPr>
        <w:t>4</w:t>
      </w:r>
      <w:r w:rsidR="008868CB" w:rsidRPr="006D140E">
        <w:rPr>
          <w:color w:val="FF0000"/>
        </w:rPr>
        <w:t>:</w:t>
      </w:r>
      <w:r w:rsidR="001214C4">
        <w:rPr>
          <w:color w:val="FF0000"/>
        </w:rPr>
        <w:t>53</w:t>
      </w:r>
      <w:r w:rsidR="008868CB" w:rsidRPr="006D140E">
        <w:rPr>
          <w:color w:val="FF0000"/>
        </w:rPr>
        <w:t xml:space="preserve"> p.m.</w:t>
      </w:r>
    </w:p>
    <w:p w14:paraId="28A30829" w14:textId="77777777" w:rsidR="00897EF7" w:rsidRPr="006D140E" w:rsidRDefault="00897EF7">
      <w:pPr>
        <w:rPr>
          <w:b/>
          <w:bCs/>
          <w:sz w:val="20"/>
          <w:szCs w:val="20"/>
        </w:rPr>
      </w:pPr>
    </w:p>
    <w:p w14:paraId="3C058B26" w14:textId="35FFC4A2" w:rsidR="001214C4" w:rsidRDefault="00973FD5">
      <w:r w:rsidRPr="006D140E">
        <w:rPr>
          <w:b/>
          <w:bCs/>
        </w:rPr>
        <w:t>Distribution:</w:t>
      </w:r>
      <w:r w:rsidR="009C6C78" w:rsidRPr="006D140E">
        <w:rPr>
          <w:b/>
          <w:bCs/>
        </w:rPr>
        <w:t xml:space="preserve"> </w:t>
      </w:r>
      <w:r w:rsidR="009C6C78" w:rsidRPr="006D140E">
        <w:t>First, these minutes will be sent to committee members for review; second, they will be posted to the minutes website.</w:t>
      </w:r>
    </w:p>
    <w:p w14:paraId="4F73E3CD" w14:textId="77777777" w:rsidR="001214C4" w:rsidRDefault="001214C4">
      <w:r>
        <w:br w:type="page"/>
      </w:r>
    </w:p>
    <w:p w14:paraId="3D2CE8AA" w14:textId="45357CAF" w:rsidR="00973FD5" w:rsidRPr="006D140E" w:rsidRDefault="0014666D">
      <w:pPr>
        <w:rPr>
          <w:b/>
          <w:bCs/>
          <w:smallCaps/>
          <w:sz w:val="28"/>
          <w:szCs w:val="28"/>
          <w:u w:val="single"/>
        </w:rPr>
      </w:pPr>
      <w:r w:rsidRPr="006D140E">
        <w:rPr>
          <w:b/>
          <w:bCs/>
          <w:smallCaps/>
          <w:sz w:val="28"/>
          <w:szCs w:val="28"/>
        </w:rPr>
        <w:lastRenderedPageBreak/>
        <w:t>Committee Name</w:t>
      </w:r>
      <w:r w:rsidR="00973FD5" w:rsidRPr="006D140E">
        <w:rPr>
          <w:b/>
          <w:bCs/>
          <w:smallCaps/>
          <w:sz w:val="28"/>
          <w:szCs w:val="28"/>
        </w:rPr>
        <w:t xml:space="preserve">: </w:t>
      </w:r>
      <w:r w:rsidR="0028721E" w:rsidRPr="006D140E">
        <w:rPr>
          <w:bCs/>
          <w:smallCaps/>
          <w:sz w:val="28"/>
          <w:szCs w:val="28"/>
        </w:rPr>
        <w:t>Executive committee of the university senate (ECUS)</w:t>
      </w:r>
      <w:r w:rsidR="004E3E6B" w:rsidRPr="006D140E">
        <w:rPr>
          <w:bCs/>
          <w:smallCaps/>
          <w:sz w:val="28"/>
          <w:szCs w:val="28"/>
        </w:rPr>
        <w:t xml:space="preserve"> with standing committee chairs (SCC)</w:t>
      </w:r>
    </w:p>
    <w:p w14:paraId="7EE6A9B8" w14:textId="77777777" w:rsidR="00973FD5" w:rsidRPr="006D140E" w:rsidRDefault="0014666D">
      <w:pPr>
        <w:rPr>
          <w:b/>
          <w:bCs/>
          <w:smallCaps/>
          <w:sz w:val="28"/>
          <w:szCs w:val="28"/>
          <w:u w:val="single"/>
        </w:rPr>
      </w:pPr>
      <w:r w:rsidRPr="006D140E">
        <w:rPr>
          <w:b/>
          <w:bCs/>
          <w:smallCaps/>
          <w:sz w:val="28"/>
          <w:szCs w:val="28"/>
        </w:rPr>
        <w:t>Committee Officers</w:t>
      </w:r>
      <w:r w:rsidR="00973FD5" w:rsidRPr="006D140E">
        <w:rPr>
          <w:b/>
          <w:bCs/>
          <w:smallCaps/>
          <w:sz w:val="28"/>
          <w:szCs w:val="28"/>
        </w:rPr>
        <w:t xml:space="preserve">: </w:t>
      </w:r>
      <w:r w:rsidR="0028721E" w:rsidRPr="006D140E">
        <w:rPr>
          <w:bCs/>
          <w:smallCaps/>
          <w:sz w:val="28"/>
          <w:szCs w:val="28"/>
        </w:rPr>
        <w:t xml:space="preserve">David Johnson (Chair), Hauke Busch </w:t>
      </w:r>
      <w:r w:rsidR="006D0B3A" w:rsidRPr="006D140E">
        <w:rPr>
          <w:bCs/>
          <w:smallCaps/>
          <w:sz w:val="28"/>
          <w:szCs w:val="28"/>
        </w:rPr>
        <w:t>(Vice-Chair), Alex Blazer (Secretary)</w:t>
      </w:r>
    </w:p>
    <w:p w14:paraId="7209E5D6" w14:textId="77777777" w:rsidR="00973FD5" w:rsidRPr="006D140E" w:rsidRDefault="0014666D">
      <w:pPr>
        <w:rPr>
          <w:bCs/>
          <w:smallCaps/>
          <w:sz w:val="28"/>
          <w:szCs w:val="28"/>
        </w:rPr>
      </w:pPr>
      <w:r w:rsidRPr="006D140E">
        <w:rPr>
          <w:b/>
          <w:bCs/>
          <w:smallCaps/>
          <w:sz w:val="28"/>
          <w:szCs w:val="28"/>
        </w:rPr>
        <w:t>Academic Year</w:t>
      </w:r>
      <w:r w:rsidR="00973FD5" w:rsidRPr="006D140E">
        <w:rPr>
          <w:b/>
          <w:bCs/>
          <w:smallCaps/>
          <w:sz w:val="28"/>
          <w:szCs w:val="28"/>
        </w:rPr>
        <w:t>:</w:t>
      </w:r>
      <w:r w:rsidR="006D0B3A" w:rsidRPr="006D140E">
        <w:rPr>
          <w:bCs/>
          <w:smallCaps/>
          <w:sz w:val="28"/>
          <w:szCs w:val="28"/>
        </w:rPr>
        <w:t xml:space="preserve"> 2019-2020</w:t>
      </w:r>
    </w:p>
    <w:p w14:paraId="00C33576" w14:textId="77777777" w:rsidR="00171EE3" w:rsidRPr="006D140E" w:rsidRDefault="00171EE3">
      <w:pPr>
        <w:rPr>
          <w:b/>
          <w:sz w:val="28"/>
          <w:szCs w:val="28"/>
        </w:rPr>
      </w:pPr>
    </w:p>
    <w:p w14:paraId="5BE6A6F0" w14:textId="77777777" w:rsidR="00171EE3" w:rsidRPr="006D140E" w:rsidRDefault="00FB54A6">
      <w:pPr>
        <w:rPr>
          <w:b/>
          <w:bCs/>
          <w:smallCaps/>
          <w:sz w:val="28"/>
          <w:szCs w:val="28"/>
        </w:rPr>
      </w:pPr>
      <w:r w:rsidRPr="006D140E">
        <w:rPr>
          <w:b/>
          <w:bCs/>
          <w:smallCaps/>
          <w:sz w:val="28"/>
          <w:szCs w:val="28"/>
        </w:rPr>
        <w:t xml:space="preserve">Aggregate </w:t>
      </w:r>
      <w:r w:rsidR="0014666D" w:rsidRPr="006D140E">
        <w:rPr>
          <w:b/>
          <w:bCs/>
          <w:smallCaps/>
          <w:sz w:val="28"/>
          <w:szCs w:val="28"/>
        </w:rPr>
        <w:t>Member Attendance at Committee Meetings for the Academic Year</w:t>
      </w:r>
      <w:r w:rsidR="004F5424" w:rsidRPr="006D140E">
        <w:rPr>
          <w:b/>
          <w:bCs/>
          <w:smallCaps/>
          <w:sz w:val="28"/>
          <w:szCs w:val="28"/>
        </w:rPr>
        <w:t>:</w:t>
      </w:r>
    </w:p>
    <w:p w14:paraId="3A9F326F" w14:textId="721D2122" w:rsidR="00973FD5" w:rsidRPr="006D140E" w:rsidRDefault="00FB54A6">
      <w:pPr>
        <w:rPr>
          <w:sz w:val="28"/>
          <w:szCs w:val="28"/>
        </w:rPr>
      </w:pPr>
      <w:r w:rsidRPr="006D140E">
        <w:rPr>
          <w:b/>
          <w:sz w:val="28"/>
          <w:szCs w:val="28"/>
        </w:rPr>
        <w:t xml:space="preserve">“P” denotes Present, </w:t>
      </w:r>
      <w:r w:rsidR="007C7CE2" w:rsidRPr="006D140E">
        <w:rPr>
          <w:b/>
          <w:sz w:val="28"/>
          <w:szCs w:val="28"/>
        </w:rPr>
        <w:t>“R” denotes Regrets,</w:t>
      </w:r>
      <w:r w:rsidRPr="006D140E">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6D140E" w14:paraId="10CD3ACA" w14:textId="77777777" w:rsidTr="004E3E6B">
        <w:trPr>
          <w:trHeight w:val="329"/>
        </w:trPr>
        <w:tc>
          <w:tcPr>
            <w:tcW w:w="1388" w:type="dxa"/>
          </w:tcPr>
          <w:p w14:paraId="085EAB30" w14:textId="77777777" w:rsidR="0055324C" w:rsidRPr="006D140E" w:rsidRDefault="0055324C">
            <w:pPr>
              <w:ind w:left="180"/>
              <w:rPr>
                <w:sz w:val="20"/>
                <w:highlight w:val="lightGray"/>
              </w:rPr>
            </w:pPr>
            <w:r w:rsidRPr="006D140E">
              <w:rPr>
                <w:sz w:val="20"/>
                <w:highlight w:val="lightGray"/>
              </w:rPr>
              <w:t>Acronyms</w:t>
            </w:r>
          </w:p>
        </w:tc>
        <w:tc>
          <w:tcPr>
            <w:tcW w:w="620" w:type="dxa"/>
          </w:tcPr>
          <w:p w14:paraId="32DA0244" w14:textId="77777777" w:rsidR="0055324C" w:rsidRPr="006D140E" w:rsidRDefault="0055324C">
            <w:pPr>
              <w:ind w:left="180"/>
              <w:rPr>
                <w:sz w:val="20"/>
                <w:highlight w:val="lightGray"/>
              </w:rPr>
            </w:pPr>
          </w:p>
        </w:tc>
        <w:tc>
          <w:tcPr>
            <w:tcW w:w="7214" w:type="dxa"/>
            <w:gridSpan w:val="11"/>
          </w:tcPr>
          <w:p w14:paraId="7095BC86" w14:textId="77777777" w:rsidR="0055324C" w:rsidRPr="006D140E" w:rsidRDefault="0055324C">
            <w:pPr>
              <w:ind w:left="180"/>
              <w:rPr>
                <w:sz w:val="20"/>
                <w:highlight w:val="lightGray"/>
              </w:rPr>
            </w:pPr>
            <w:r w:rsidRPr="006D140E">
              <w:rPr>
                <w:sz w:val="20"/>
                <w:highlight w:val="lightGray"/>
              </w:rPr>
              <w:t>EFS = Elected Faculty Senator</w:t>
            </w:r>
          </w:p>
          <w:p w14:paraId="3B6E4802" w14:textId="77777777" w:rsidR="0055324C" w:rsidRPr="006D140E" w:rsidRDefault="0055324C">
            <w:pPr>
              <w:ind w:left="180"/>
              <w:rPr>
                <w:sz w:val="20"/>
                <w:highlight w:val="lightGray"/>
              </w:rPr>
            </w:pPr>
            <w:r w:rsidRPr="006D140E">
              <w:rPr>
                <w:sz w:val="20"/>
                <w:highlight w:val="lightGray"/>
              </w:rPr>
              <w:t>CoAS = College of Arts and Sciences; CoB = College of Business; CoE = College of Education; CoHS = College of Health Sciences</w:t>
            </w:r>
          </w:p>
        </w:tc>
      </w:tr>
      <w:tr w:rsidR="00F8681E" w:rsidRPr="006D140E" w14:paraId="22D98CF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8" w:type="dxa"/>
            <w:gridSpan w:val="3"/>
            <w:tcBorders>
              <w:left w:val="double" w:sz="4" w:space="0" w:color="auto"/>
              <w:bottom w:val="single" w:sz="4" w:space="0" w:color="auto"/>
            </w:tcBorders>
          </w:tcPr>
          <w:p w14:paraId="2C55047E" w14:textId="77777777" w:rsidR="0055324C" w:rsidRPr="006D140E" w:rsidRDefault="0055324C">
            <w:pPr>
              <w:rPr>
                <w:sz w:val="20"/>
              </w:rPr>
            </w:pPr>
            <w:r w:rsidRPr="006D140E">
              <w:rPr>
                <w:sz w:val="20"/>
              </w:rPr>
              <w:t>Meeting Dates</w:t>
            </w:r>
          </w:p>
        </w:tc>
        <w:tc>
          <w:tcPr>
            <w:tcW w:w="486" w:type="dxa"/>
            <w:tcBorders>
              <w:bottom w:val="single" w:sz="4" w:space="0" w:color="auto"/>
            </w:tcBorders>
            <w:vAlign w:val="center"/>
          </w:tcPr>
          <w:p w14:paraId="549A1696" w14:textId="353696E5" w:rsidR="0055324C" w:rsidRPr="006D140E" w:rsidRDefault="0055324C" w:rsidP="00892A7C">
            <w:pPr>
              <w:jc w:val="center"/>
              <w:rPr>
                <w:sz w:val="20"/>
              </w:rPr>
            </w:pPr>
            <w:r w:rsidRPr="006D140E">
              <w:rPr>
                <w:sz w:val="20"/>
              </w:rPr>
              <w:t>9/6</w:t>
            </w:r>
          </w:p>
        </w:tc>
        <w:tc>
          <w:tcPr>
            <w:tcW w:w="586" w:type="dxa"/>
            <w:tcBorders>
              <w:bottom w:val="single" w:sz="4" w:space="0" w:color="auto"/>
            </w:tcBorders>
            <w:vAlign w:val="center"/>
          </w:tcPr>
          <w:p w14:paraId="366156E7" w14:textId="71782C6D" w:rsidR="0055324C" w:rsidRPr="006D140E" w:rsidRDefault="0055324C" w:rsidP="00892A7C">
            <w:pPr>
              <w:jc w:val="center"/>
              <w:rPr>
                <w:sz w:val="20"/>
              </w:rPr>
            </w:pPr>
            <w:r w:rsidRPr="006D140E">
              <w:rPr>
                <w:sz w:val="20"/>
              </w:rPr>
              <w:t>10/4</w:t>
            </w:r>
          </w:p>
        </w:tc>
        <w:tc>
          <w:tcPr>
            <w:tcW w:w="648" w:type="dxa"/>
            <w:tcBorders>
              <w:bottom w:val="single" w:sz="4" w:space="0" w:color="auto"/>
            </w:tcBorders>
            <w:vAlign w:val="center"/>
          </w:tcPr>
          <w:p w14:paraId="4F4FB0A9" w14:textId="7544EE4D" w:rsidR="0055324C" w:rsidRPr="006D140E" w:rsidRDefault="0055324C" w:rsidP="00892A7C">
            <w:pPr>
              <w:jc w:val="center"/>
              <w:rPr>
                <w:sz w:val="20"/>
              </w:rPr>
            </w:pPr>
            <w:r w:rsidRPr="006D140E">
              <w:rPr>
                <w:sz w:val="20"/>
              </w:rPr>
              <w:t>11/1</w:t>
            </w:r>
          </w:p>
        </w:tc>
        <w:tc>
          <w:tcPr>
            <w:tcW w:w="648" w:type="dxa"/>
            <w:tcBorders>
              <w:bottom w:val="single" w:sz="4" w:space="0" w:color="auto"/>
            </w:tcBorders>
            <w:vAlign w:val="center"/>
          </w:tcPr>
          <w:p w14:paraId="3F392DF1" w14:textId="3626CCF2" w:rsidR="0055324C" w:rsidRPr="006D140E" w:rsidRDefault="0055324C" w:rsidP="00892A7C">
            <w:pPr>
              <w:jc w:val="center"/>
              <w:rPr>
                <w:sz w:val="20"/>
              </w:rPr>
            </w:pPr>
            <w:r w:rsidRPr="006D140E">
              <w:rPr>
                <w:sz w:val="20"/>
              </w:rPr>
              <w:t>1/10</w:t>
            </w:r>
          </w:p>
        </w:tc>
        <w:tc>
          <w:tcPr>
            <w:tcW w:w="807" w:type="dxa"/>
            <w:tcBorders>
              <w:bottom w:val="single" w:sz="4" w:space="0" w:color="auto"/>
            </w:tcBorders>
            <w:vAlign w:val="center"/>
          </w:tcPr>
          <w:p w14:paraId="0FA45BA2" w14:textId="4F1D4420" w:rsidR="0055324C" w:rsidRPr="006D140E" w:rsidRDefault="0055324C" w:rsidP="00892A7C">
            <w:pPr>
              <w:jc w:val="center"/>
              <w:rPr>
                <w:sz w:val="20"/>
              </w:rPr>
            </w:pPr>
            <w:r w:rsidRPr="006D140E">
              <w:rPr>
                <w:sz w:val="20"/>
              </w:rPr>
              <w:t>2/14</w:t>
            </w:r>
          </w:p>
        </w:tc>
        <w:tc>
          <w:tcPr>
            <w:tcW w:w="753" w:type="dxa"/>
            <w:tcBorders>
              <w:bottom w:val="single" w:sz="4" w:space="0" w:color="auto"/>
            </w:tcBorders>
            <w:vAlign w:val="center"/>
          </w:tcPr>
          <w:p w14:paraId="2F5C0A9A" w14:textId="7418A788" w:rsidR="0055324C" w:rsidRPr="006D140E" w:rsidRDefault="0055324C" w:rsidP="00892A7C">
            <w:pPr>
              <w:jc w:val="center"/>
              <w:rPr>
                <w:sz w:val="20"/>
              </w:rPr>
            </w:pPr>
            <w:r w:rsidRPr="006D140E">
              <w:rPr>
                <w:sz w:val="20"/>
              </w:rPr>
              <w:t>3/6</w:t>
            </w:r>
          </w:p>
        </w:tc>
        <w:tc>
          <w:tcPr>
            <w:tcW w:w="807" w:type="dxa"/>
            <w:tcBorders>
              <w:bottom w:val="single" w:sz="4" w:space="0" w:color="auto"/>
            </w:tcBorders>
            <w:vAlign w:val="center"/>
          </w:tcPr>
          <w:p w14:paraId="790F8AFC" w14:textId="19BBC8BA" w:rsidR="0055324C" w:rsidRPr="006D140E" w:rsidRDefault="0055324C" w:rsidP="00892A7C">
            <w:pPr>
              <w:jc w:val="center"/>
              <w:rPr>
                <w:sz w:val="20"/>
              </w:rPr>
            </w:pPr>
            <w:r w:rsidRPr="006D140E">
              <w:rPr>
                <w:sz w:val="20"/>
              </w:rPr>
              <w:t>4/10</w:t>
            </w:r>
          </w:p>
        </w:tc>
        <w:tc>
          <w:tcPr>
            <w:tcW w:w="713" w:type="dxa"/>
            <w:tcBorders>
              <w:bottom w:val="single" w:sz="4" w:space="0" w:color="auto"/>
            </w:tcBorders>
          </w:tcPr>
          <w:p w14:paraId="6453EBF7" w14:textId="0DEFBF0A" w:rsidR="0055324C" w:rsidRPr="006D140E" w:rsidRDefault="00F8681E" w:rsidP="00892A7C">
            <w:pPr>
              <w:jc w:val="center"/>
              <w:rPr>
                <w:sz w:val="20"/>
              </w:rPr>
            </w:pPr>
            <w:r w:rsidRPr="006D140E">
              <w:rPr>
                <w:sz w:val="20"/>
              </w:rPr>
              <w:t>P</w:t>
            </w:r>
          </w:p>
        </w:tc>
        <w:tc>
          <w:tcPr>
            <w:tcW w:w="713" w:type="dxa"/>
            <w:tcBorders>
              <w:bottom w:val="single" w:sz="4" w:space="0" w:color="auto"/>
            </w:tcBorders>
            <w:vAlign w:val="center"/>
          </w:tcPr>
          <w:p w14:paraId="02905DD7" w14:textId="4014065A" w:rsidR="0055324C" w:rsidRPr="006D140E" w:rsidRDefault="0055324C" w:rsidP="00892A7C">
            <w:pPr>
              <w:jc w:val="center"/>
              <w:rPr>
                <w:sz w:val="20"/>
              </w:rPr>
            </w:pPr>
            <w:r w:rsidRPr="006D140E">
              <w:rPr>
                <w:sz w:val="20"/>
              </w:rPr>
              <w:t>R</w:t>
            </w:r>
          </w:p>
        </w:tc>
        <w:tc>
          <w:tcPr>
            <w:tcW w:w="713" w:type="dxa"/>
            <w:tcBorders>
              <w:bottom w:val="single" w:sz="4" w:space="0" w:color="auto"/>
              <w:right w:val="double" w:sz="4" w:space="0" w:color="auto"/>
            </w:tcBorders>
            <w:vAlign w:val="center"/>
          </w:tcPr>
          <w:p w14:paraId="776CC54A" w14:textId="76F53766" w:rsidR="0055324C" w:rsidRPr="006D140E" w:rsidRDefault="0055324C" w:rsidP="00892A7C">
            <w:pPr>
              <w:jc w:val="center"/>
              <w:rPr>
                <w:sz w:val="20"/>
              </w:rPr>
            </w:pPr>
            <w:r w:rsidRPr="006D140E">
              <w:rPr>
                <w:sz w:val="20"/>
              </w:rPr>
              <w:t>A</w:t>
            </w:r>
          </w:p>
        </w:tc>
      </w:tr>
      <w:tr w:rsidR="00F8681E" w:rsidRPr="006D140E" w14:paraId="1CFCFA7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F01AB7C" w14:textId="77777777" w:rsidR="0055324C" w:rsidRPr="006D140E" w:rsidRDefault="0055324C" w:rsidP="0055324C">
            <w:r w:rsidRPr="006D140E">
              <w:t>Alex Blazer</w:t>
            </w:r>
          </w:p>
          <w:p w14:paraId="4E1C8006" w14:textId="77777777" w:rsidR="0055324C" w:rsidRPr="006D140E" w:rsidRDefault="0055324C" w:rsidP="0055324C">
            <w:pPr>
              <w:rPr>
                <w:i/>
              </w:rPr>
            </w:pPr>
            <w:r w:rsidRPr="006D140E">
              <w:rPr>
                <w:i/>
              </w:rPr>
              <w:t>EFS, CoAS, ECUS Chair Emeritus</w:t>
            </w:r>
            <w:r w:rsidR="00C16488" w:rsidRPr="006D140E">
              <w:rPr>
                <w:i/>
              </w:rPr>
              <w:t xml:space="preserve">, ECUS </w:t>
            </w:r>
            <w:r w:rsidRPr="006D140E">
              <w:rPr>
                <w:i/>
              </w:rPr>
              <w:t>Secretary</w:t>
            </w:r>
          </w:p>
        </w:tc>
        <w:tc>
          <w:tcPr>
            <w:tcW w:w="486" w:type="dxa"/>
            <w:tcBorders>
              <w:bottom w:val="single" w:sz="4" w:space="0" w:color="auto"/>
            </w:tcBorders>
            <w:shd w:val="clear" w:color="auto" w:fill="FFFFFF"/>
            <w:vAlign w:val="center"/>
          </w:tcPr>
          <w:p w14:paraId="36684710" w14:textId="77777777" w:rsidR="0055324C" w:rsidRPr="006D140E" w:rsidRDefault="007C7CE2" w:rsidP="00C16488">
            <w:pPr>
              <w:jc w:val="center"/>
              <w:rPr>
                <w:sz w:val="36"/>
                <w:szCs w:val="36"/>
              </w:rPr>
            </w:pPr>
            <w:r w:rsidRPr="006D140E">
              <w:rPr>
                <w:sz w:val="36"/>
                <w:szCs w:val="36"/>
              </w:rPr>
              <w:t>P</w:t>
            </w:r>
          </w:p>
        </w:tc>
        <w:tc>
          <w:tcPr>
            <w:tcW w:w="586" w:type="dxa"/>
            <w:tcBorders>
              <w:bottom w:val="single" w:sz="4" w:space="0" w:color="auto"/>
            </w:tcBorders>
            <w:shd w:val="clear" w:color="auto" w:fill="FFFFFF"/>
            <w:vAlign w:val="center"/>
          </w:tcPr>
          <w:p w14:paraId="597B0555" w14:textId="48A9D7E2" w:rsidR="0055324C" w:rsidRPr="006D140E" w:rsidRDefault="00897EF7" w:rsidP="00C16488">
            <w:pPr>
              <w:jc w:val="center"/>
              <w:rPr>
                <w:sz w:val="36"/>
                <w:szCs w:val="36"/>
              </w:rPr>
            </w:pPr>
            <w:r w:rsidRPr="006D140E">
              <w:rPr>
                <w:sz w:val="36"/>
                <w:szCs w:val="36"/>
              </w:rPr>
              <w:t>P</w:t>
            </w:r>
          </w:p>
        </w:tc>
        <w:tc>
          <w:tcPr>
            <w:tcW w:w="648" w:type="dxa"/>
            <w:tcBorders>
              <w:bottom w:val="single" w:sz="4" w:space="0" w:color="auto"/>
            </w:tcBorders>
            <w:shd w:val="clear" w:color="auto" w:fill="FFFFFF"/>
            <w:vAlign w:val="center"/>
          </w:tcPr>
          <w:p w14:paraId="5F886385" w14:textId="77777777" w:rsidR="0055324C" w:rsidRPr="006D140E" w:rsidRDefault="0055324C" w:rsidP="00C16488">
            <w:pPr>
              <w:jc w:val="center"/>
              <w:rPr>
                <w:sz w:val="36"/>
                <w:szCs w:val="36"/>
              </w:rPr>
            </w:pPr>
          </w:p>
        </w:tc>
        <w:tc>
          <w:tcPr>
            <w:tcW w:w="648" w:type="dxa"/>
            <w:tcBorders>
              <w:bottom w:val="single" w:sz="4" w:space="0" w:color="auto"/>
            </w:tcBorders>
            <w:shd w:val="clear" w:color="auto" w:fill="FFFFFF"/>
            <w:vAlign w:val="center"/>
          </w:tcPr>
          <w:p w14:paraId="0E5ED6C3"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6761AA77" w14:textId="77777777" w:rsidR="0055324C" w:rsidRPr="006D140E" w:rsidRDefault="0055324C" w:rsidP="00C16488">
            <w:pPr>
              <w:jc w:val="center"/>
              <w:rPr>
                <w:sz w:val="36"/>
                <w:szCs w:val="36"/>
              </w:rPr>
            </w:pPr>
          </w:p>
        </w:tc>
        <w:tc>
          <w:tcPr>
            <w:tcW w:w="753" w:type="dxa"/>
            <w:shd w:val="clear" w:color="auto" w:fill="FFFFFF"/>
            <w:vAlign w:val="center"/>
          </w:tcPr>
          <w:p w14:paraId="28D576D7" w14:textId="77777777" w:rsidR="0055324C" w:rsidRPr="006D140E" w:rsidRDefault="0055324C" w:rsidP="00C16488">
            <w:pPr>
              <w:jc w:val="center"/>
              <w:rPr>
                <w:sz w:val="36"/>
                <w:szCs w:val="36"/>
              </w:rPr>
            </w:pPr>
          </w:p>
        </w:tc>
        <w:tc>
          <w:tcPr>
            <w:tcW w:w="807" w:type="dxa"/>
            <w:shd w:val="clear" w:color="auto" w:fill="FFFFFF"/>
            <w:vAlign w:val="center"/>
          </w:tcPr>
          <w:p w14:paraId="203CE741" w14:textId="77777777" w:rsidR="0055324C" w:rsidRPr="006D140E" w:rsidRDefault="0055324C" w:rsidP="00C16488">
            <w:pPr>
              <w:jc w:val="center"/>
              <w:rPr>
                <w:sz w:val="36"/>
                <w:szCs w:val="36"/>
              </w:rPr>
            </w:pPr>
          </w:p>
        </w:tc>
        <w:tc>
          <w:tcPr>
            <w:tcW w:w="713" w:type="dxa"/>
            <w:shd w:val="clear" w:color="auto" w:fill="FFFFFF"/>
            <w:vAlign w:val="center"/>
          </w:tcPr>
          <w:p w14:paraId="5B807796" w14:textId="73AE2197" w:rsidR="0055324C" w:rsidRPr="006D140E" w:rsidRDefault="00897EF7" w:rsidP="00C16488">
            <w:pPr>
              <w:jc w:val="center"/>
              <w:rPr>
                <w:sz w:val="36"/>
                <w:szCs w:val="36"/>
              </w:rPr>
            </w:pPr>
            <w:r w:rsidRPr="006D140E">
              <w:rPr>
                <w:sz w:val="36"/>
                <w:szCs w:val="36"/>
              </w:rPr>
              <w:t>2</w:t>
            </w:r>
          </w:p>
        </w:tc>
        <w:tc>
          <w:tcPr>
            <w:tcW w:w="713" w:type="dxa"/>
            <w:shd w:val="clear" w:color="auto" w:fill="FFFFFF"/>
            <w:vAlign w:val="center"/>
          </w:tcPr>
          <w:p w14:paraId="6A78A090" w14:textId="77777777" w:rsidR="0055324C" w:rsidRPr="006D140E" w:rsidRDefault="00BF10B6" w:rsidP="00C16488">
            <w:pPr>
              <w:jc w:val="center"/>
              <w:rPr>
                <w:sz w:val="36"/>
                <w:szCs w:val="36"/>
              </w:rPr>
            </w:pPr>
            <w:r w:rsidRPr="006D140E">
              <w:rPr>
                <w:sz w:val="36"/>
                <w:szCs w:val="36"/>
              </w:rPr>
              <w:t>0</w:t>
            </w:r>
          </w:p>
        </w:tc>
        <w:tc>
          <w:tcPr>
            <w:tcW w:w="713" w:type="dxa"/>
            <w:tcBorders>
              <w:right w:val="double" w:sz="4" w:space="0" w:color="auto"/>
            </w:tcBorders>
            <w:shd w:val="clear" w:color="auto" w:fill="FFFFFF"/>
            <w:vAlign w:val="center"/>
          </w:tcPr>
          <w:p w14:paraId="30B4A3CF" w14:textId="77777777" w:rsidR="0055324C" w:rsidRPr="006D140E" w:rsidRDefault="00BF10B6" w:rsidP="00C16488">
            <w:pPr>
              <w:jc w:val="center"/>
              <w:rPr>
                <w:sz w:val="36"/>
                <w:szCs w:val="36"/>
              </w:rPr>
            </w:pPr>
            <w:r w:rsidRPr="006D140E">
              <w:rPr>
                <w:sz w:val="36"/>
                <w:szCs w:val="36"/>
              </w:rPr>
              <w:t>0</w:t>
            </w:r>
          </w:p>
        </w:tc>
      </w:tr>
      <w:tr w:rsidR="00F8681E" w:rsidRPr="006D140E" w14:paraId="618F12FC"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right w:val="single" w:sz="4" w:space="0" w:color="auto"/>
            </w:tcBorders>
            <w:shd w:val="clear" w:color="auto" w:fill="FFFFFF"/>
            <w:vAlign w:val="center"/>
          </w:tcPr>
          <w:p w14:paraId="30217EE6" w14:textId="77777777" w:rsidR="0055324C" w:rsidRPr="006D140E" w:rsidRDefault="0055324C" w:rsidP="0055324C">
            <w:r w:rsidRPr="006D140E">
              <w:t>Hauke Busch</w:t>
            </w:r>
          </w:p>
          <w:p w14:paraId="100E04F7" w14:textId="77777777" w:rsidR="0055324C" w:rsidRPr="006D140E" w:rsidRDefault="0055324C" w:rsidP="0055324C">
            <w:pPr>
              <w:rPr>
                <w:i/>
              </w:rPr>
            </w:pPr>
            <w:r w:rsidRPr="006D140E">
              <w:rPr>
                <w:i/>
              </w:rPr>
              <w:t>EFS, CoAS, ECUS Vice-Chair</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D140E" w:rsidRDefault="0055324C" w:rsidP="00C16488">
            <w:pPr>
              <w:jc w:val="center"/>
              <w:rPr>
                <w:sz w:val="36"/>
                <w:szCs w:val="36"/>
              </w:rPr>
            </w:pPr>
            <w:r w:rsidRPr="006D140E">
              <w:rPr>
                <w:sz w:val="36"/>
                <w:szCs w:val="36"/>
              </w:rPr>
              <w:t>P</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6D140E" w:rsidRDefault="00897EF7" w:rsidP="00C16488">
            <w:pPr>
              <w:jc w:val="center"/>
              <w:rPr>
                <w:sz w:val="36"/>
                <w:szCs w:val="36"/>
              </w:rPr>
            </w:pPr>
            <w:r w:rsidRPr="006D140E">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7777777" w:rsidR="0055324C" w:rsidRPr="006D140E" w:rsidRDefault="0055324C" w:rsidP="00C16488">
            <w:pPr>
              <w:jc w:val="center"/>
              <w:rPr>
                <w:sz w:val="36"/>
                <w:szCs w:val="36"/>
              </w:rPr>
            </w:pP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77777777" w:rsidR="0055324C" w:rsidRPr="006D140E" w:rsidRDefault="0055324C" w:rsidP="00C16488">
            <w:pPr>
              <w:jc w:val="center"/>
              <w:rPr>
                <w:sz w:val="36"/>
                <w:szCs w:val="36"/>
              </w:rPr>
            </w:pP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777777" w:rsidR="0055324C" w:rsidRPr="006D140E" w:rsidRDefault="0055324C" w:rsidP="00C16488">
            <w:pPr>
              <w:jc w:val="center"/>
              <w:rPr>
                <w:sz w:val="36"/>
                <w:szCs w:val="36"/>
              </w:rPr>
            </w:pPr>
          </w:p>
        </w:tc>
        <w:tc>
          <w:tcPr>
            <w:tcW w:w="753" w:type="dxa"/>
            <w:tcBorders>
              <w:left w:val="single" w:sz="4" w:space="0" w:color="auto"/>
            </w:tcBorders>
            <w:shd w:val="clear" w:color="auto" w:fill="FFFFFF"/>
            <w:vAlign w:val="center"/>
          </w:tcPr>
          <w:p w14:paraId="0DBDC69E" w14:textId="77777777" w:rsidR="0055324C" w:rsidRPr="006D140E" w:rsidRDefault="0055324C" w:rsidP="00C16488">
            <w:pPr>
              <w:jc w:val="center"/>
              <w:rPr>
                <w:sz w:val="36"/>
                <w:szCs w:val="36"/>
              </w:rPr>
            </w:pPr>
          </w:p>
        </w:tc>
        <w:tc>
          <w:tcPr>
            <w:tcW w:w="807" w:type="dxa"/>
            <w:shd w:val="clear" w:color="auto" w:fill="FFFFFF"/>
            <w:vAlign w:val="center"/>
          </w:tcPr>
          <w:p w14:paraId="447954C2" w14:textId="77777777" w:rsidR="0055324C" w:rsidRPr="006D140E" w:rsidRDefault="0055324C" w:rsidP="00C16488">
            <w:pPr>
              <w:jc w:val="center"/>
              <w:rPr>
                <w:sz w:val="36"/>
                <w:szCs w:val="36"/>
              </w:rPr>
            </w:pPr>
          </w:p>
        </w:tc>
        <w:tc>
          <w:tcPr>
            <w:tcW w:w="713" w:type="dxa"/>
            <w:shd w:val="clear" w:color="auto" w:fill="FFFFFF"/>
            <w:vAlign w:val="center"/>
          </w:tcPr>
          <w:p w14:paraId="7DB55EE4" w14:textId="432C297D" w:rsidR="0055324C" w:rsidRPr="006D140E" w:rsidRDefault="00897EF7" w:rsidP="00C16488">
            <w:pPr>
              <w:jc w:val="center"/>
              <w:rPr>
                <w:sz w:val="36"/>
                <w:szCs w:val="36"/>
              </w:rPr>
            </w:pPr>
            <w:r w:rsidRPr="006D140E">
              <w:rPr>
                <w:sz w:val="36"/>
                <w:szCs w:val="36"/>
              </w:rPr>
              <w:t>2</w:t>
            </w:r>
          </w:p>
        </w:tc>
        <w:tc>
          <w:tcPr>
            <w:tcW w:w="713" w:type="dxa"/>
            <w:shd w:val="clear" w:color="auto" w:fill="FFFFFF"/>
            <w:vAlign w:val="center"/>
          </w:tcPr>
          <w:p w14:paraId="32065334" w14:textId="77777777" w:rsidR="0055324C" w:rsidRPr="006D140E" w:rsidRDefault="00BF10B6" w:rsidP="00C16488">
            <w:pPr>
              <w:jc w:val="center"/>
              <w:rPr>
                <w:sz w:val="36"/>
                <w:szCs w:val="36"/>
              </w:rPr>
            </w:pPr>
            <w:r w:rsidRPr="006D140E">
              <w:rPr>
                <w:sz w:val="36"/>
                <w:szCs w:val="36"/>
              </w:rPr>
              <w:t>0</w:t>
            </w:r>
          </w:p>
        </w:tc>
        <w:tc>
          <w:tcPr>
            <w:tcW w:w="713" w:type="dxa"/>
            <w:tcBorders>
              <w:right w:val="double" w:sz="4" w:space="0" w:color="auto"/>
            </w:tcBorders>
            <w:shd w:val="clear" w:color="auto" w:fill="FFFFFF"/>
            <w:vAlign w:val="center"/>
          </w:tcPr>
          <w:p w14:paraId="37B2CDD4" w14:textId="77777777" w:rsidR="0055324C" w:rsidRPr="006D140E" w:rsidRDefault="00BF10B6" w:rsidP="00C16488">
            <w:pPr>
              <w:jc w:val="center"/>
              <w:rPr>
                <w:sz w:val="36"/>
                <w:szCs w:val="36"/>
              </w:rPr>
            </w:pPr>
            <w:r w:rsidRPr="006D140E">
              <w:rPr>
                <w:sz w:val="36"/>
                <w:szCs w:val="36"/>
              </w:rPr>
              <w:t>0</w:t>
            </w:r>
          </w:p>
        </w:tc>
      </w:tr>
      <w:tr w:rsidR="00F8681E" w:rsidRPr="006D140E" w14:paraId="6F2D1339"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48D826A3" w14:textId="77777777" w:rsidR="0055324C" w:rsidRPr="006D140E" w:rsidRDefault="0055324C" w:rsidP="0055324C">
            <w:r w:rsidRPr="006D140E">
              <w:t>Steve Dorman</w:t>
            </w:r>
          </w:p>
          <w:p w14:paraId="274F13EF" w14:textId="77777777" w:rsidR="0055324C" w:rsidRPr="006D140E" w:rsidRDefault="0055324C" w:rsidP="0055324C">
            <w:pPr>
              <w:rPr>
                <w:i/>
              </w:rPr>
            </w:pPr>
            <w:r w:rsidRPr="006D140E">
              <w:rPr>
                <w:i/>
              </w:rPr>
              <w:t>University President</w:t>
            </w:r>
          </w:p>
        </w:tc>
        <w:tc>
          <w:tcPr>
            <w:tcW w:w="486" w:type="dxa"/>
            <w:tcBorders>
              <w:top w:val="single" w:sz="4" w:space="0" w:color="auto"/>
            </w:tcBorders>
            <w:shd w:val="clear" w:color="auto" w:fill="FFFFFF"/>
            <w:vAlign w:val="center"/>
          </w:tcPr>
          <w:p w14:paraId="1FBC6DB3" w14:textId="77777777" w:rsidR="0055324C" w:rsidRPr="006D140E" w:rsidRDefault="0055324C" w:rsidP="00C16488">
            <w:pPr>
              <w:jc w:val="center"/>
              <w:rPr>
                <w:sz w:val="36"/>
                <w:szCs w:val="36"/>
              </w:rPr>
            </w:pPr>
            <w:r w:rsidRPr="006D140E">
              <w:rPr>
                <w:sz w:val="36"/>
                <w:szCs w:val="36"/>
              </w:rPr>
              <w:t>R</w:t>
            </w:r>
          </w:p>
        </w:tc>
        <w:tc>
          <w:tcPr>
            <w:tcW w:w="586" w:type="dxa"/>
            <w:tcBorders>
              <w:top w:val="single" w:sz="4" w:space="0" w:color="auto"/>
            </w:tcBorders>
            <w:shd w:val="clear" w:color="auto" w:fill="FFFFFF"/>
            <w:vAlign w:val="center"/>
          </w:tcPr>
          <w:p w14:paraId="1AC93682" w14:textId="42826F14" w:rsidR="0055324C" w:rsidRPr="006D140E" w:rsidRDefault="00897EF7" w:rsidP="00C16488">
            <w:pPr>
              <w:jc w:val="center"/>
              <w:rPr>
                <w:sz w:val="36"/>
                <w:szCs w:val="36"/>
              </w:rPr>
            </w:pPr>
            <w:r w:rsidRPr="006D140E">
              <w:rPr>
                <w:sz w:val="36"/>
                <w:szCs w:val="36"/>
              </w:rPr>
              <w:t>R</w:t>
            </w:r>
          </w:p>
        </w:tc>
        <w:tc>
          <w:tcPr>
            <w:tcW w:w="648" w:type="dxa"/>
            <w:tcBorders>
              <w:top w:val="single" w:sz="4" w:space="0" w:color="auto"/>
            </w:tcBorders>
            <w:shd w:val="clear" w:color="auto" w:fill="FFFFFF"/>
            <w:vAlign w:val="center"/>
          </w:tcPr>
          <w:p w14:paraId="343CE1D5" w14:textId="77777777" w:rsidR="0055324C" w:rsidRPr="006D140E" w:rsidRDefault="0055324C" w:rsidP="00C16488">
            <w:pPr>
              <w:jc w:val="center"/>
              <w:rPr>
                <w:sz w:val="36"/>
                <w:szCs w:val="36"/>
              </w:rPr>
            </w:pPr>
          </w:p>
        </w:tc>
        <w:tc>
          <w:tcPr>
            <w:tcW w:w="648" w:type="dxa"/>
            <w:tcBorders>
              <w:top w:val="single" w:sz="4" w:space="0" w:color="auto"/>
            </w:tcBorders>
            <w:shd w:val="clear" w:color="auto" w:fill="FFFFFF"/>
            <w:vAlign w:val="center"/>
          </w:tcPr>
          <w:p w14:paraId="1EB08298" w14:textId="77777777" w:rsidR="0055324C" w:rsidRPr="006D140E" w:rsidRDefault="0055324C" w:rsidP="00C16488">
            <w:pPr>
              <w:jc w:val="center"/>
              <w:rPr>
                <w:sz w:val="36"/>
                <w:szCs w:val="36"/>
              </w:rPr>
            </w:pPr>
          </w:p>
        </w:tc>
        <w:tc>
          <w:tcPr>
            <w:tcW w:w="807" w:type="dxa"/>
            <w:tcBorders>
              <w:top w:val="single" w:sz="4" w:space="0" w:color="auto"/>
            </w:tcBorders>
            <w:shd w:val="clear" w:color="auto" w:fill="FFFFFF"/>
            <w:vAlign w:val="center"/>
          </w:tcPr>
          <w:p w14:paraId="748ECF5E" w14:textId="77777777" w:rsidR="0055324C" w:rsidRPr="006D140E" w:rsidRDefault="0055324C" w:rsidP="00C16488">
            <w:pPr>
              <w:jc w:val="center"/>
              <w:rPr>
                <w:sz w:val="36"/>
                <w:szCs w:val="36"/>
              </w:rPr>
            </w:pPr>
          </w:p>
        </w:tc>
        <w:tc>
          <w:tcPr>
            <w:tcW w:w="753" w:type="dxa"/>
            <w:shd w:val="clear" w:color="auto" w:fill="FFFFFF"/>
            <w:vAlign w:val="center"/>
          </w:tcPr>
          <w:p w14:paraId="25B6344C" w14:textId="77777777" w:rsidR="0055324C" w:rsidRPr="006D140E" w:rsidRDefault="0055324C" w:rsidP="00C16488">
            <w:pPr>
              <w:jc w:val="center"/>
              <w:rPr>
                <w:sz w:val="36"/>
                <w:szCs w:val="36"/>
              </w:rPr>
            </w:pPr>
          </w:p>
        </w:tc>
        <w:tc>
          <w:tcPr>
            <w:tcW w:w="807" w:type="dxa"/>
            <w:shd w:val="clear" w:color="auto" w:fill="FFFFFF"/>
            <w:vAlign w:val="center"/>
          </w:tcPr>
          <w:p w14:paraId="5A0117DB" w14:textId="77777777" w:rsidR="0055324C" w:rsidRPr="006D140E" w:rsidRDefault="0055324C" w:rsidP="00C16488">
            <w:pPr>
              <w:jc w:val="center"/>
              <w:rPr>
                <w:sz w:val="36"/>
                <w:szCs w:val="36"/>
              </w:rPr>
            </w:pPr>
          </w:p>
        </w:tc>
        <w:tc>
          <w:tcPr>
            <w:tcW w:w="713" w:type="dxa"/>
            <w:shd w:val="clear" w:color="auto" w:fill="FFFFFF"/>
            <w:vAlign w:val="center"/>
          </w:tcPr>
          <w:p w14:paraId="76FD1B00" w14:textId="77777777" w:rsidR="0055324C" w:rsidRPr="006D140E" w:rsidRDefault="00BF10B6" w:rsidP="00C16488">
            <w:pPr>
              <w:jc w:val="center"/>
              <w:rPr>
                <w:sz w:val="36"/>
                <w:szCs w:val="36"/>
              </w:rPr>
            </w:pPr>
            <w:r w:rsidRPr="006D140E">
              <w:rPr>
                <w:sz w:val="36"/>
                <w:szCs w:val="36"/>
              </w:rPr>
              <w:t>0</w:t>
            </w:r>
          </w:p>
        </w:tc>
        <w:tc>
          <w:tcPr>
            <w:tcW w:w="713" w:type="dxa"/>
            <w:shd w:val="clear" w:color="auto" w:fill="FFFFFF"/>
            <w:vAlign w:val="center"/>
          </w:tcPr>
          <w:p w14:paraId="6701C529" w14:textId="7B4AA803" w:rsidR="0055324C" w:rsidRPr="006D140E" w:rsidRDefault="00897EF7" w:rsidP="00C16488">
            <w:pPr>
              <w:jc w:val="center"/>
              <w:rPr>
                <w:sz w:val="36"/>
                <w:szCs w:val="36"/>
              </w:rPr>
            </w:pPr>
            <w:r w:rsidRPr="006D140E">
              <w:rPr>
                <w:sz w:val="36"/>
                <w:szCs w:val="36"/>
              </w:rPr>
              <w:t>2</w:t>
            </w:r>
          </w:p>
        </w:tc>
        <w:tc>
          <w:tcPr>
            <w:tcW w:w="713" w:type="dxa"/>
            <w:tcBorders>
              <w:right w:val="double" w:sz="4" w:space="0" w:color="auto"/>
            </w:tcBorders>
            <w:shd w:val="clear" w:color="auto" w:fill="FFFFFF"/>
            <w:vAlign w:val="center"/>
          </w:tcPr>
          <w:p w14:paraId="49F5A0F7" w14:textId="77777777" w:rsidR="0055324C" w:rsidRPr="006D140E" w:rsidRDefault="00BF10B6" w:rsidP="00C16488">
            <w:pPr>
              <w:jc w:val="center"/>
              <w:rPr>
                <w:sz w:val="36"/>
                <w:szCs w:val="36"/>
              </w:rPr>
            </w:pPr>
            <w:r w:rsidRPr="006D140E">
              <w:rPr>
                <w:sz w:val="36"/>
                <w:szCs w:val="36"/>
              </w:rPr>
              <w:t>0</w:t>
            </w:r>
          </w:p>
        </w:tc>
      </w:tr>
      <w:tr w:rsidR="00F8681E" w:rsidRPr="006D140E" w14:paraId="6AD482CB"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CF8EB8F" w14:textId="77777777" w:rsidR="00897EF7" w:rsidRPr="006D140E" w:rsidRDefault="00897EF7" w:rsidP="0055324C">
            <w:r w:rsidRPr="006D140E">
              <w:t>Jeff Dowdy</w:t>
            </w:r>
          </w:p>
          <w:p w14:paraId="2952407B" w14:textId="49652784" w:rsidR="00897EF7" w:rsidRPr="006D140E" w:rsidRDefault="00897EF7" w:rsidP="0055324C">
            <w:pPr>
              <w:rPr>
                <w:i/>
                <w:iCs/>
              </w:rPr>
            </w:pPr>
            <w:r w:rsidRPr="006D140E">
              <w:rPr>
                <w:i/>
                <w:iCs/>
              </w:rPr>
              <w:t>EFS, Library, ECUS Member</w:t>
            </w:r>
          </w:p>
        </w:tc>
        <w:tc>
          <w:tcPr>
            <w:tcW w:w="486" w:type="dxa"/>
            <w:shd w:val="clear" w:color="auto" w:fill="auto"/>
            <w:vAlign w:val="center"/>
          </w:tcPr>
          <w:p w14:paraId="53807138" w14:textId="77777777" w:rsidR="00897EF7" w:rsidRPr="006D140E" w:rsidRDefault="00897EF7" w:rsidP="00C16488">
            <w:pPr>
              <w:jc w:val="center"/>
              <w:rPr>
                <w:sz w:val="36"/>
                <w:szCs w:val="36"/>
              </w:rPr>
            </w:pPr>
          </w:p>
        </w:tc>
        <w:tc>
          <w:tcPr>
            <w:tcW w:w="586" w:type="dxa"/>
            <w:shd w:val="clear" w:color="auto" w:fill="FFFFFF"/>
            <w:vAlign w:val="center"/>
          </w:tcPr>
          <w:p w14:paraId="01845693" w14:textId="20EC3194" w:rsidR="00897EF7" w:rsidRPr="006D140E" w:rsidRDefault="00897EF7" w:rsidP="00C16488">
            <w:pPr>
              <w:jc w:val="center"/>
              <w:rPr>
                <w:sz w:val="36"/>
                <w:szCs w:val="36"/>
              </w:rPr>
            </w:pPr>
            <w:r w:rsidRPr="006D140E">
              <w:rPr>
                <w:sz w:val="36"/>
                <w:szCs w:val="36"/>
              </w:rPr>
              <w:t>P</w:t>
            </w:r>
          </w:p>
        </w:tc>
        <w:tc>
          <w:tcPr>
            <w:tcW w:w="648" w:type="dxa"/>
            <w:shd w:val="clear" w:color="auto" w:fill="FFFFFF"/>
            <w:vAlign w:val="center"/>
          </w:tcPr>
          <w:p w14:paraId="4CFA0817" w14:textId="77777777" w:rsidR="00897EF7" w:rsidRPr="006D140E" w:rsidRDefault="00897EF7" w:rsidP="00C16488">
            <w:pPr>
              <w:jc w:val="center"/>
              <w:rPr>
                <w:sz w:val="36"/>
                <w:szCs w:val="36"/>
              </w:rPr>
            </w:pPr>
          </w:p>
        </w:tc>
        <w:tc>
          <w:tcPr>
            <w:tcW w:w="648" w:type="dxa"/>
            <w:shd w:val="clear" w:color="auto" w:fill="FFFFFF"/>
            <w:vAlign w:val="center"/>
          </w:tcPr>
          <w:p w14:paraId="2F152729" w14:textId="77777777" w:rsidR="00897EF7" w:rsidRPr="006D140E" w:rsidRDefault="00897EF7" w:rsidP="00C16488">
            <w:pPr>
              <w:jc w:val="center"/>
              <w:rPr>
                <w:sz w:val="36"/>
                <w:szCs w:val="36"/>
              </w:rPr>
            </w:pPr>
          </w:p>
        </w:tc>
        <w:tc>
          <w:tcPr>
            <w:tcW w:w="807" w:type="dxa"/>
            <w:shd w:val="clear" w:color="auto" w:fill="FFFFFF"/>
            <w:vAlign w:val="center"/>
          </w:tcPr>
          <w:p w14:paraId="598C15CD" w14:textId="77777777" w:rsidR="00897EF7" w:rsidRPr="006D140E" w:rsidRDefault="00897EF7" w:rsidP="00C16488">
            <w:pPr>
              <w:jc w:val="center"/>
              <w:rPr>
                <w:sz w:val="36"/>
                <w:szCs w:val="36"/>
              </w:rPr>
            </w:pPr>
          </w:p>
        </w:tc>
        <w:tc>
          <w:tcPr>
            <w:tcW w:w="753" w:type="dxa"/>
            <w:tcBorders>
              <w:bottom w:val="single" w:sz="4" w:space="0" w:color="auto"/>
            </w:tcBorders>
            <w:shd w:val="clear" w:color="auto" w:fill="FFFFFF"/>
            <w:vAlign w:val="center"/>
          </w:tcPr>
          <w:p w14:paraId="6E2D455E" w14:textId="77777777" w:rsidR="00897EF7" w:rsidRPr="006D140E" w:rsidRDefault="00897EF7" w:rsidP="00C16488">
            <w:pPr>
              <w:jc w:val="center"/>
              <w:rPr>
                <w:sz w:val="36"/>
                <w:szCs w:val="36"/>
              </w:rPr>
            </w:pPr>
          </w:p>
        </w:tc>
        <w:tc>
          <w:tcPr>
            <w:tcW w:w="807" w:type="dxa"/>
            <w:tcBorders>
              <w:bottom w:val="single" w:sz="4" w:space="0" w:color="auto"/>
            </w:tcBorders>
            <w:shd w:val="clear" w:color="auto" w:fill="FFFFFF"/>
            <w:vAlign w:val="center"/>
          </w:tcPr>
          <w:p w14:paraId="59CB1691" w14:textId="77777777" w:rsidR="00897EF7" w:rsidRPr="006D140E" w:rsidRDefault="00897EF7" w:rsidP="00C16488">
            <w:pPr>
              <w:jc w:val="center"/>
              <w:rPr>
                <w:sz w:val="36"/>
                <w:szCs w:val="36"/>
              </w:rPr>
            </w:pPr>
          </w:p>
        </w:tc>
        <w:tc>
          <w:tcPr>
            <w:tcW w:w="713" w:type="dxa"/>
            <w:tcBorders>
              <w:bottom w:val="single" w:sz="4" w:space="0" w:color="auto"/>
            </w:tcBorders>
            <w:shd w:val="clear" w:color="auto" w:fill="FFFFFF"/>
            <w:vAlign w:val="center"/>
          </w:tcPr>
          <w:p w14:paraId="5F2D9669" w14:textId="5615C8C8" w:rsidR="00897EF7" w:rsidRPr="006D140E" w:rsidRDefault="00897EF7" w:rsidP="00C16488">
            <w:pPr>
              <w:jc w:val="center"/>
              <w:rPr>
                <w:sz w:val="36"/>
                <w:szCs w:val="36"/>
              </w:rPr>
            </w:pPr>
            <w:r w:rsidRPr="006D140E">
              <w:rPr>
                <w:sz w:val="36"/>
                <w:szCs w:val="36"/>
              </w:rPr>
              <w:t>1</w:t>
            </w:r>
          </w:p>
        </w:tc>
        <w:tc>
          <w:tcPr>
            <w:tcW w:w="713" w:type="dxa"/>
            <w:tcBorders>
              <w:bottom w:val="single" w:sz="4" w:space="0" w:color="auto"/>
            </w:tcBorders>
            <w:shd w:val="clear" w:color="auto" w:fill="FFFFFF"/>
            <w:vAlign w:val="center"/>
          </w:tcPr>
          <w:p w14:paraId="72F01CE6" w14:textId="1CC49386" w:rsidR="00897EF7" w:rsidRPr="006D140E" w:rsidRDefault="00897EF7"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00918CD5" w14:textId="3C5C409D" w:rsidR="00897EF7" w:rsidRPr="006D140E" w:rsidRDefault="00897EF7" w:rsidP="00C16488">
            <w:pPr>
              <w:jc w:val="center"/>
              <w:rPr>
                <w:sz w:val="36"/>
                <w:szCs w:val="36"/>
              </w:rPr>
            </w:pPr>
            <w:r w:rsidRPr="006D140E">
              <w:rPr>
                <w:sz w:val="36"/>
                <w:szCs w:val="36"/>
              </w:rPr>
              <w:t>0</w:t>
            </w:r>
          </w:p>
        </w:tc>
      </w:tr>
      <w:tr w:rsidR="00F8681E" w:rsidRPr="006D140E" w14:paraId="4FC9178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F475656" w14:textId="77777777" w:rsidR="0055324C" w:rsidRPr="006D140E" w:rsidRDefault="0055324C" w:rsidP="0055324C">
            <w:r w:rsidRPr="006D140E">
              <w:t>Catherine Fowler</w:t>
            </w:r>
          </w:p>
          <w:p w14:paraId="5EC7F8FB" w14:textId="77777777" w:rsidR="0055324C" w:rsidRPr="006D140E" w:rsidRDefault="0055324C" w:rsidP="0055324C">
            <w:pPr>
              <w:rPr>
                <w:i/>
              </w:rPr>
            </w:pPr>
            <w:r w:rsidRPr="006D140E">
              <w:rPr>
                <w:i/>
              </w:rPr>
              <w:t>EFS, CoHS, ECUS Member</w:t>
            </w:r>
          </w:p>
        </w:tc>
        <w:tc>
          <w:tcPr>
            <w:tcW w:w="486" w:type="dxa"/>
            <w:shd w:val="clear" w:color="auto" w:fill="auto"/>
            <w:vAlign w:val="center"/>
          </w:tcPr>
          <w:p w14:paraId="38A7A9EC" w14:textId="77777777" w:rsidR="0055324C" w:rsidRPr="006D140E" w:rsidRDefault="0055324C" w:rsidP="00C16488">
            <w:pPr>
              <w:jc w:val="center"/>
              <w:rPr>
                <w:sz w:val="36"/>
                <w:szCs w:val="36"/>
              </w:rPr>
            </w:pPr>
            <w:r w:rsidRPr="006D140E">
              <w:rPr>
                <w:sz w:val="36"/>
                <w:szCs w:val="36"/>
              </w:rPr>
              <w:t>P</w:t>
            </w:r>
          </w:p>
        </w:tc>
        <w:tc>
          <w:tcPr>
            <w:tcW w:w="586" w:type="dxa"/>
            <w:shd w:val="clear" w:color="auto" w:fill="FFFFFF"/>
            <w:vAlign w:val="center"/>
          </w:tcPr>
          <w:p w14:paraId="132E9C6D" w14:textId="2036B00B" w:rsidR="0055324C" w:rsidRPr="006D140E" w:rsidRDefault="00897EF7" w:rsidP="00C16488">
            <w:pPr>
              <w:jc w:val="center"/>
              <w:rPr>
                <w:sz w:val="36"/>
                <w:szCs w:val="36"/>
              </w:rPr>
            </w:pPr>
            <w:r w:rsidRPr="006D140E">
              <w:rPr>
                <w:sz w:val="36"/>
                <w:szCs w:val="36"/>
              </w:rPr>
              <w:t>P</w:t>
            </w:r>
          </w:p>
        </w:tc>
        <w:tc>
          <w:tcPr>
            <w:tcW w:w="648" w:type="dxa"/>
            <w:shd w:val="clear" w:color="auto" w:fill="FFFFFF"/>
            <w:vAlign w:val="center"/>
          </w:tcPr>
          <w:p w14:paraId="7E33C554" w14:textId="77777777" w:rsidR="0055324C" w:rsidRPr="006D140E" w:rsidRDefault="0055324C" w:rsidP="00C16488">
            <w:pPr>
              <w:jc w:val="center"/>
              <w:rPr>
                <w:sz w:val="36"/>
                <w:szCs w:val="36"/>
              </w:rPr>
            </w:pPr>
          </w:p>
        </w:tc>
        <w:tc>
          <w:tcPr>
            <w:tcW w:w="648" w:type="dxa"/>
            <w:shd w:val="clear" w:color="auto" w:fill="FFFFFF"/>
            <w:vAlign w:val="center"/>
          </w:tcPr>
          <w:p w14:paraId="23262F83" w14:textId="77777777" w:rsidR="0055324C" w:rsidRPr="006D140E" w:rsidRDefault="0055324C" w:rsidP="00C16488">
            <w:pPr>
              <w:jc w:val="center"/>
              <w:rPr>
                <w:sz w:val="36"/>
                <w:szCs w:val="36"/>
              </w:rPr>
            </w:pPr>
          </w:p>
        </w:tc>
        <w:tc>
          <w:tcPr>
            <w:tcW w:w="807" w:type="dxa"/>
            <w:shd w:val="clear" w:color="auto" w:fill="FFFFFF"/>
            <w:vAlign w:val="center"/>
          </w:tcPr>
          <w:p w14:paraId="0AF98225" w14:textId="77777777" w:rsidR="0055324C" w:rsidRPr="006D140E" w:rsidRDefault="0055324C" w:rsidP="00C16488">
            <w:pPr>
              <w:jc w:val="center"/>
              <w:rPr>
                <w:sz w:val="36"/>
                <w:szCs w:val="36"/>
              </w:rPr>
            </w:pPr>
          </w:p>
        </w:tc>
        <w:tc>
          <w:tcPr>
            <w:tcW w:w="753" w:type="dxa"/>
            <w:tcBorders>
              <w:bottom w:val="single" w:sz="4" w:space="0" w:color="auto"/>
            </w:tcBorders>
            <w:shd w:val="clear" w:color="auto" w:fill="FFFFFF"/>
            <w:vAlign w:val="center"/>
          </w:tcPr>
          <w:p w14:paraId="210278D8"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76E2C12B" w14:textId="77777777" w:rsidR="0055324C" w:rsidRPr="006D140E" w:rsidRDefault="0055324C" w:rsidP="00C16488">
            <w:pPr>
              <w:jc w:val="center"/>
              <w:rPr>
                <w:sz w:val="36"/>
                <w:szCs w:val="36"/>
              </w:rPr>
            </w:pPr>
          </w:p>
        </w:tc>
        <w:tc>
          <w:tcPr>
            <w:tcW w:w="713" w:type="dxa"/>
            <w:tcBorders>
              <w:bottom w:val="single" w:sz="4" w:space="0" w:color="auto"/>
            </w:tcBorders>
            <w:shd w:val="clear" w:color="auto" w:fill="FFFFFF"/>
            <w:vAlign w:val="center"/>
          </w:tcPr>
          <w:p w14:paraId="7419927E" w14:textId="13628927" w:rsidR="0055324C" w:rsidRPr="006D140E" w:rsidRDefault="00897EF7" w:rsidP="00C16488">
            <w:pPr>
              <w:jc w:val="center"/>
              <w:rPr>
                <w:sz w:val="36"/>
                <w:szCs w:val="36"/>
              </w:rPr>
            </w:pPr>
            <w:r w:rsidRPr="006D140E">
              <w:rPr>
                <w:sz w:val="36"/>
                <w:szCs w:val="36"/>
              </w:rPr>
              <w:t>2</w:t>
            </w:r>
          </w:p>
        </w:tc>
        <w:tc>
          <w:tcPr>
            <w:tcW w:w="713" w:type="dxa"/>
            <w:tcBorders>
              <w:bottom w:val="single" w:sz="4" w:space="0" w:color="auto"/>
            </w:tcBorders>
            <w:shd w:val="clear" w:color="auto" w:fill="FFFFFF"/>
            <w:vAlign w:val="center"/>
          </w:tcPr>
          <w:p w14:paraId="1415DFFD" w14:textId="77777777" w:rsidR="0055324C" w:rsidRPr="006D140E" w:rsidRDefault="00BF10B6"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263EBC43" w14:textId="77777777" w:rsidR="0055324C" w:rsidRPr="006D140E" w:rsidRDefault="00BF10B6" w:rsidP="00C16488">
            <w:pPr>
              <w:jc w:val="center"/>
              <w:rPr>
                <w:sz w:val="36"/>
                <w:szCs w:val="36"/>
              </w:rPr>
            </w:pPr>
            <w:r w:rsidRPr="006D140E">
              <w:rPr>
                <w:sz w:val="36"/>
                <w:szCs w:val="36"/>
              </w:rPr>
              <w:t>0</w:t>
            </w:r>
          </w:p>
        </w:tc>
      </w:tr>
      <w:tr w:rsidR="00F8681E" w:rsidRPr="006D140E" w14:paraId="2E97262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09870EE" w14:textId="77777777" w:rsidR="0055324C" w:rsidRPr="006D140E" w:rsidRDefault="0055324C" w:rsidP="0055324C">
            <w:r w:rsidRPr="006D140E">
              <w:t>David Johnson</w:t>
            </w:r>
          </w:p>
          <w:p w14:paraId="233140F7" w14:textId="77777777" w:rsidR="0055324C" w:rsidRPr="006D140E" w:rsidRDefault="0055324C" w:rsidP="0055324C">
            <w:pPr>
              <w:rPr>
                <w:i/>
              </w:rPr>
            </w:pPr>
            <w:r w:rsidRPr="006D140E">
              <w:rPr>
                <w:i/>
              </w:rPr>
              <w:t>EFS, CoAS, ECUS Chair</w:t>
            </w:r>
          </w:p>
        </w:tc>
        <w:tc>
          <w:tcPr>
            <w:tcW w:w="486" w:type="dxa"/>
            <w:tcBorders>
              <w:bottom w:val="single" w:sz="4" w:space="0" w:color="auto"/>
            </w:tcBorders>
            <w:shd w:val="clear" w:color="auto" w:fill="FFFFFF"/>
            <w:vAlign w:val="center"/>
          </w:tcPr>
          <w:p w14:paraId="339609CA" w14:textId="77777777" w:rsidR="0055324C" w:rsidRPr="006D140E" w:rsidRDefault="0055324C" w:rsidP="00C16488">
            <w:pPr>
              <w:jc w:val="center"/>
              <w:rPr>
                <w:sz w:val="36"/>
                <w:szCs w:val="36"/>
              </w:rPr>
            </w:pPr>
            <w:r w:rsidRPr="006D140E">
              <w:rPr>
                <w:sz w:val="36"/>
                <w:szCs w:val="36"/>
              </w:rPr>
              <w:t>P</w:t>
            </w:r>
          </w:p>
        </w:tc>
        <w:tc>
          <w:tcPr>
            <w:tcW w:w="586" w:type="dxa"/>
            <w:tcBorders>
              <w:bottom w:val="single" w:sz="4" w:space="0" w:color="auto"/>
            </w:tcBorders>
            <w:shd w:val="clear" w:color="auto" w:fill="FFFFFF"/>
            <w:vAlign w:val="center"/>
          </w:tcPr>
          <w:p w14:paraId="1E025DDB" w14:textId="6D0C4F17" w:rsidR="0055324C" w:rsidRPr="006D140E" w:rsidRDefault="00897EF7" w:rsidP="00C16488">
            <w:pPr>
              <w:jc w:val="center"/>
              <w:rPr>
                <w:sz w:val="36"/>
                <w:szCs w:val="36"/>
              </w:rPr>
            </w:pPr>
            <w:r w:rsidRPr="006D140E">
              <w:rPr>
                <w:sz w:val="36"/>
                <w:szCs w:val="36"/>
              </w:rPr>
              <w:t>P</w:t>
            </w:r>
          </w:p>
        </w:tc>
        <w:tc>
          <w:tcPr>
            <w:tcW w:w="648" w:type="dxa"/>
            <w:tcBorders>
              <w:bottom w:val="single" w:sz="4" w:space="0" w:color="auto"/>
            </w:tcBorders>
            <w:shd w:val="clear" w:color="auto" w:fill="FFFFFF"/>
            <w:vAlign w:val="center"/>
          </w:tcPr>
          <w:p w14:paraId="5BD75B5F" w14:textId="77777777" w:rsidR="0055324C" w:rsidRPr="006D140E" w:rsidRDefault="0055324C" w:rsidP="00C16488">
            <w:pPr>
              <w:jc w:val="center"/>
              <w:rPr>
                <w:sz w:val="36"/>
                <w:szCs w:val="36"/>
              </w:rPr>
            </w:pPr>
          </w:p>
        </w:tc>
        <w:tc>
          <w:tcPr>
            <w:tcW w:w="648" w:type="dxa"/>
            <w:tcBorders>
              <w:bottom w:val="single" w:sz="4" w:space="0" w:color="auto"/>
            </w:tcBorders>
            <w:shd w:val="clear" w:color="auto" w:fill="FFFFFF"/>
            <w:vAlign w:val="center"/>
          </w:tcPr>
          <w:p w14:paraId="6FD929EB"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792A177A" w14:textId="77777777" w:rsidR="0055324C" w:rsidRPr="006D140E" w:rsidRDefault="0055324C" w:rsidP="00C16488">
            <w:pPr>
              <w:jc w:val="center"/>
              <w:rPr>
                <w:sz w:val="36"/>
                <w:szCs w:val="36"/>
              </w:rPr>
            </w:pPr>
          </w:p>
        </w:tc>
        <w:tc>
          <w:tcPr>
            <w:tcW w:w="753" w:type="dxa"/>
            <w:tcBorders>
              <w:bottom w:val="single" w:sz="4" w:space="0" w:color="auto"/>
            </w:tcBorders>
            <w:shd w:val="clear" w:color="auto" w:fill="FFFFFF"/>
            <w:vAlign w:val="center"/>
          </w:tcPr>
          <w:p w14:paraId="5ED38DF1"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74F942AB" w14:textId="77777777" w:rsidR="0055324C" w:rsidRPr="006D140E" w:rsidRDefault="0055324C" w:rsidP="00C16488">
            <w:pPr>
              <w:jc w:val="center"/>
              <w:rPr>
                <w:sz w:val="36"/>
                <w:szCs w:val="36"/>
              </w:rPr>
            </w:pPr>
          </w:p>
        </w:tc>
        <w:tc>
          <w:tcPr>
            <w:tcW w:w="713" w:type="dxa"/>
            <w:tcBorders>
              <w:bottom w:val="single" w:sz="4" w:space="0" w:color="auto"/>
            </w:tcBorders>
            <w:shd w:val="clear" w:color="auto" w:fill="FFFFFF"/>
            <w:vAlign w:val="center"/>
          </w:tcPr>
          <w:p w14:paraId="197F9E72" w14:textId="5EE7288B" w:rsidR="0055324C" w:rsidRPr="006D140E" w:rsidRDefault="00897EF7" w:rsidP="00C16488">
            <w:pPr>
              <w:jc w:val="center"/>
              <w:rPr>
                <w:sz w:val="36"/>
                <w:szCs w:val="36"/>
              </w:rPr>
            </w:pPr>
            <w:r w:rsidRPr="006D140E">
              <w:rPr>
                <w:sz w:val="36"/>
                <w:szCs w:val="36"/>
              </w:rPr>
              <w:t>2</w:t>
            </w:r>
          </w:p>
        </w:tc>
        <w:tc>
          <w:tcPr>
            <w:tcW w:w="713" w:type="dxa"/>
            <w:tcBorders>
              <w:bottom w:val="single" w:sz="4" w:space="0" w:color="auto"/>
            </w:tcBorders>
            <w:shd w:val="clear" w:color="auto" w:fill="FFFFFF"/>
            <w:vAlign w:val="center"/>
          </w:tcPr>
          <w:p w14:paraId="4FEE4CDC" w14:textId="77777777" w:rsidR="0055324C" w:rsidRPr="006D140E" w:rsidRDefault="00BF10B6"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04077EC6" w14:textId="77777777" w:rsidR="0055324C" w:rsidRPr="006D140E" w:rsidRDefault="00BF10B6" w:rsidP="00C16488">
            <w:pPr>
              <w:jc w:val="center"/>
              <w:rPr>
                <w:sz w:val="36"/>
                <w:szCs w:val="36"/>
              </w:rPr>
            </w:pPr>
            <w:r w:rsidRPr="006D140E">
              <w:rPr>
                <w:sz w:val="36"/>
                <w:szCs w:val="36"/>
              </w:rPr>
              <w:t>0</w:t>
            </w:r>
          </w:p>
        </w:tc>
      </w:tr>
      <w:tr w:rsidR="00F8681E" w:rsidRPr="006D140E" w14:paraId="330BDE92"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79F9728" w14:textId="77777777" w:rsidR="0055324C" w:rsidRPr="006D140E" w:rsidRDefault="0055324C" w:rsidP="0055324C">
            <w:r w:rsidRPr="006D140E">
              <w:t>Lyndall Muschell</w:t>
            </w:r>
          </w:p>
          <w:p w14:paraId="4076D670" w14:textId="77777777" w:rsidR="0055324C" w:rsidRPr="006D140E" w:rsidRDefault="0055324C" w:rsidP="0055324C">
            <w:pPr>
              <w:rPr>
                <w:i/>
              </w:rPr>
            </w:pPr>
            <w:r w:rsidRPr="006D140E">
              <w:rPr>
                <w:i/>
              </w:rPr>
              <w:t>EFS, CoE, ECUS Member</w:t>
            </w:r>
          </w:p>
        </w:tc>
        <w:tc>
          <w:tcPr>
            <w:tcW w:w="486" w:type="dxa"/>
            <w:shd w:val="clear" w:color="auto" w:fill="FFFFFF"/>
            <w:vAlign w:val="center"/>
          </w:tcPr>
          <w:p w14:paraId="2A0D58BC" w14:textId="77777777" w:rsidR="0055324C" w:rsidRPr="006D140E" w:rsidRDefault="0055324C" w:rsidP="00C16488">
            <w:pPr>
              <w:jc w:val="center"/>
              <w:rPr>
                <w:sz w:val="36"/>
                <w:szCs w:val="36"/>
              </w:rPr>
            </w:pPr>
            <w:r w:rsidRPr="006D140E">
              <w:rPr>
                <w:sz w:val="36"/>
                <w:szCs w:val="36"/>
              </w:rPr>
              <w:t>P</w:t>
            </w:r>
          </w:p>
        </w:tc>
        <w:tc>
          <w:tcPr>
            <w:tcW w:w="586" w:type="dxa"/>
            <w:shd w:val="clear" w:color="auto" w:fill="FFFFFF"/>
            <w:vAlign w:val="center"/>
          </w:tcPr>
          <w:p w14:paraId="5D11FA2A" w14:textId="0C430EEF" w:rsidR="0055324C" w:rsidRPr="006D140E" w:rsidRDefault="00897EF7" w:rsidP="00C16488">
            <w:pPr>
              <w:jc w:val="center"/>
              <w:rPr>
                <w:sz w:val="36"/>
                <w:szCs w:val="36"/>
              </w:rPr>
            </w:pPr>
            <w:r w:rsidRPr="006D140E">
              <w:rPr>
                <w:sz w:val="36"/>
                <w:szCs w:val="36"/>
              </w:rPr>
              <w:t>P</w:t>
            </w:r>
          </w:p>
        </w:tc>
        <w:tc>
          <w:tcPr>
            <w:tcW w:w="648" w:type="dxa"/>
            <w:shd w:val="clear" w:color="auto" w:fill="FFFFFF"/>
            <w:vAlign w:val="center"/>
          </w:tcPr>
          <w:p w14:paraId="15B6FD3E" w14:textId="77777777" w:rsidR="0055324C" w:rsidRPr="006D140E" w:rsidRDefault="0055324C" w:rsidP="00C16488">
            <w:pPr>
              <w:jc w:val="center"/>
              <w:rPr>
                <w:sz w:val="36"/>
                <w:szCs w:val="36"/>
              </w:rPr>
            </w:pPr>
          </w:p>
        </w:tc>
        <w:tc>
          <w:tcPr>
            <w:tcW w:w="648" w:type="dxa"/>
            <w:shd w:val="clear" w:color="auto" w:fill="FFFFFF"/>
            <w:vAlign w:val="center"/>
          </w:tcPr>
          <w:p w14:paraId="281E0127" w14:textId="77777777" w:rsidR="0055324C" w:rsidRPr="006D140E" w:rsidRDefault="0055324C" w:rsidP="00C16488">
            <w:pPr>
              <w:jc w:val="center"/>
              <w:rPr>
                <w:sz w:val="36"/>
                <w:szCs w:val="36"/>
              </w:rPr>
            </w:pPr>
          </w:p>
        </w:tc>
        <w:tc>
          <w:tcPr>
            <w:tcW w:w="807" w:type="dxa"/>
            <w:shd w:val="clear" w:color="auto" w:fill="FFFFFF"/>
            <w:vAlign w:val="center"/>
          </w:tcPr>
          <w:p w14:paraId="221EEF8A" w14:textId="77777777" w:rsidR="0055324C" w:rsidRPr="006D140E" w:rsidRDefault="0055324C" w:rsidP="00C16488">
            <w:pPr>
              <w:jc w:val="center"/>
              <w:rPr>
                <w:sz w:val="36"/>
                <w:szCs w:val="36"/>
              </w:rPr>
            </w:pPr>
          </w:p>
        </w:tc>
        <w:tc>
          <w:tcPr>
            <w:tcW w:w="753" w:type="dxa"/>
            <w:shd w:val="clear" w:color="auto" w:fill="FFFFFF"/>
            <w:vAlign w:val="center"/>
          </w:tcPr>
          <w:p w14:paraId="17D847B8" w14:textId="77777777" w:rsidR="0055324C" w:rsidRPr="006D140E" w:rsidRDefault="0055324C" w:rsidP="00C16488">
            <w:pPr>
              <w:jc w:val="center"/>
              <w:rPr>
                <w:sz w:val="36"/>
                <w:szCs w:val="36"/>
              </w:rPr>
            </w:pPr>
          </w:p>
        </w:tc>
        <w:tc>
          <w:tcPr>
            <w:tcW w:w="807" w:type="dxa"/>
            <w:shd w:val="clear" w:color="auto" w:fill="FFFFFF"/>
            <w:vAlign w:val="center"/>
          </w:tcPr>
          <w:p w14:paraId="5F44155D" w14:textId="77777777" w:rsidR="0055324C" w:rsidRPr="006D140E" w:rsidRDefault="0055324C" w:rsidP="00C16488">
            <w:pPr>
              <w:jc w:val="center"/>
              <w:rPr>
                <w:sz w:val="36"/>
                <w:szCs w:val="36"/>
              </w:rPr>
            </w:pPr>
          </w:p>
        </w:tc>
        <w:tc>
          <w:tcPr>
            <w:tcW w:w="713" w:type="dxa"/>
            <w:shd w:val="clear" w:color="auto" w:fill="FFFFFF"/>
            <w:vAlign w:val="center"/>
          </w:tcPr>
          <w:p w14:paraId="51F4817A" w14:textId="7E63628B" w:rsidR="0055324C" w:rsidRPr="006D140E" w:rsidRDefault="00897EF7" w:rsidP="00C16488">
            <w:pPr>
              <w:jc w:val="center"/>
              <w:rPr>
                <w:sz w:val="36"/>
                <w:szCs w:val="36"/>
              </w:rPr>
            </w:pPr>
            <w:r w:rsidRPr="006D140E">
              <w:rPr>
                <w:sz w:val="36"/>
                <w:szCs w:val="36"/>
              </w:rPr>
              <w:t>2</w:t>
            </w:r>
          </w:p>
        </w:tc>
        <w:tc>
          <w:tcPr>
            <w:tcW w:w="713" w:type="dxa"/>
            <w:shd w:val="clear" w:color="auto" w:fill="FFFFFF"/>
            <w:vAlign w:val="center"/>
          </w:tcPr>
          <w:p w14:paraId="2C18065B" w14:textId="77777777" w:rsidR="0055324C" w:rsidRPr="006D140E" w:rsidRDefault="00BF10B6" w:rsidP="00C16488">
            <w:pPr>
              <w:jc w:val="center"/>
              <w:rPr>
                <w:sz w:val="36"/>
                <w:szCs w:val="36"/>
              </w:rPr>
            </w:pPr>
            <w:r w:rsidRPr="006D140E">
              <w:rPr>
                <w:sz w:val="36"/>
                <w:szCs w:val="36"/>
              </w:rPr>
              <w:t>0</w:t>
            </w:r>
          </w:p>
        </w:tc>
        <w:tc>
          <w:tcPr>
            <w:tcW w:w="713" w:type="dxa"/>
            <w:tcBorders>
              <w:right w:val="double" w:sz="4" w:space="0" w:color="auto"/>
            </w:tcBorders>
            <w:shd w:val="clear" w:color="auto" w:fill="FFFFFF"/>
            <w:vAlign w:val="center"/>
          </w:tcPr>
          <w:p w14:paraId="30B88D27" w14:textId="77777777" w:rsidR="0055324C" w:rsidRPr="006D140E" w:rsidRDefault="00BF10B6" w:rsidP="00C16488">
            <w:pPr>
              <w:jc w:val="center"/>
              <w:rPr>
                <w:sz w:val="36"/>
                <w:szCs w:val="36"/>
              </w:rPr>
            </w:pPr>
            <w:r w:rsidRPr="006D140E">
              <w:rPr>
                <w:sz w:val="36"/>
                <w:szCs w:val="36"/>
              </w:rPr>
              <w:t>0</w:t>
            </w:r>
          </w:p>
        </w:tc>
      </w:tr>
      <w:tr w:rsidR="00F8681E" w:rsidRPr="006D140E" w14:paraId="42D8AB4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696652DD" w14:textId="77777777" w:rsidR="0055324C" w:rsidRPr="006D140E" w:rsidRDefault="0055324C" w:rsidP="0055324C">
            <w:r w:rsidRPr="006D140E">
              <w:t>Costas Spirou</w:t>
            </w:r>
          </w:p>
          <w:p w14:paraId="1585E199" w14:textId="77777777" w:rsidR="0055324C" w:rsidRPr="006D140E" w:rsidRDefault="0055324C" w:rsidP="0055324C">
            <w:pPr>
              <w:rPr>
                <w:i/>
              </w:rPr>
            </w:pPr>
            <w:r w:rsidRPr="006D140E">
              <w:rPr>
                <w:i/>
              </w:rPr>
              <w:t>Provost</w:t>
            </w:r>
          </w:p>
        </w:tc>
        <w:tc>
          <w:tcPr>
            <w:tcW w:w="486" w:type="dxa"/>
            <w:tcBorders>
              <w:bottom w:val="single" w:sz="4" w:space="0" w:color="auto"/>
            </w:tcBorders>
            <w:shd w:val="clear" w:color="auto" w:fill="auto"/>
            <w:vAlign w:val="center"/>
          </w:tcPr>
          <w:p w14:paraId="4C2C60FB" w14:textId="77777777" w:rsidR="0055324C" w:rsidRPr="006D140E" w:rsidRDefault="0055324C" w:rsidP="00C16488">
            <w:pPr>
              <w:jc w:val="center"/>
              <w:rPr>
                <w:sz w:val="36"/>
                <w:szCs w:val="36"/>
              </w:rPr>
            </w:pPr>
            <w:r w:rsidRPr="006D140E">
              <w:rPr>
                <w:sz w:val="36"/>
                <w:szCs w:val="36"/>
              </w:rPr>
              <w:t>P</w:t>
            </w:r>
          </w:p>
        </w:tc>
        <w:tc>
          <w:tcPr>
            <w:tcW w:w="586" w:type="dxa"/>
            <w:tcBorders>
              <w:bottom w:val="single" w:sz="4" w:space="0" w:color="auto"/>
            </w:tcBorders>
            <w:shd w:val="clear" w:color="auto" w:fill="FFFFFF"/>
            <w:vAlign w:val="center"/>
          </w:tcPr>
          <w:p w14:paraId="5D915213" w14:textId="03A097C2" w:rsidR="0055324C" w:rsidRPr="006D140E" w:rsidRDefault="00897EF7" w:rsidP="00C16488">
            <w:pPr>
              <w:jc w:val="center"/>
              <w:rPr>
                <w:sz w:val="36"/>
                <w:szCs w:val="36"/>
              </w:rPr>
            </w:pPr>
            <w:r w:rsidRPr="006D140E">
              <w:rPr>
                <w:sz w:val="36"/>
                <w:szCs w:val="36"/>
              </w:rPr>
              <w:t>P</w:t>
            </w:r>
          </w:p>
        </w:tc>
        <w:tc>
          <w:tcPr>
            <w:tcW w:w="648" w:type="dxa"/>
            <w:tcBorders>
              <w:bottom w:val="single" w:sz="4" w:space="0" w:color="auto"/>
            </w:tcBorders>
            <w:shd w:val="clear" w:color="auto" w:fill="FFFFFF"/>
            <w:vAlign w:val="center"/>
          </w:tcPr>
          <w:p w14:paraId="2B069B63" w14:textId="77777777" w:rsidR="0055324C" w:rsidRPr="006D140E" w:rsidRDefault="0055324C" w:rsidP="00C16488">
            <w:pPr>
              <w:jc w:val="center"/>
              <w:rPr>
                <w:sz w:val="36"/>
                <w:szCs w:val="36"/>
              </w:rPr>
            </w:pPr>
          </w:p>
        </w:tc>
        <w:tc>
          <w:tcPr>
            <w:tcW w:w="648" w:type="dxa"/>
            <w:tcBorders>
              <w:bottom w:val="single" w:sz="4" w:space="0" w:color="auto"/>
            </w:tcBorders>
            <w:shd w:val="clear" w:color="auto" w:fill="FFFFFF"/>
            <w:vAlign w:val="center"/>
          </w:tcPr>
          <w:p w14:paraId="378401CD"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5E45F155" w14:textId="77777777" w:rsidR="0055324C" w:rsidRPr="006D140E" w:rsidRDefault="0055324C" w:rsidP="00C16488">
            <w:pPr>
              <w:jc w:val="center"/>
              <w:rPr>
                <w:sz w:val="36"/>
                <w:szCs w:val="36"/>
              </w:rPr>
            </w:pPr>
          </w:p>
        </w:tc>
        <w:tc>
          <w:tcPr>
            <w:tcW w:w="753" w:type="dxa"/>
            <w:tcBorders>
              <w:bottom w:val="single" w:sz="4" w:space="0" w:color="auto"/>
            </w:tcBorders>
            <w:shd w:val="clear" w:color="auto" w:fill="FFFFFF"/>
            <w:vAlign w:val="center"/>
          </w:tcPr>
          <w:p w14:paraId="3C483E3E"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3A88ADBC" w14:textId="77777777" w:rsidR="0055324C" w:rsidRPr="006D140E" w:rsidRDefault="0055324C" w:rsidP="00C16488">
            <w:pPr>
              <w:jc w:val="center"/>
              <w:rPr>
                <w:sz w:val="36"/>
                <w:szCs w:val="36"/>
              </w:rPr>
            </w:pPr>
          </w:p>
        </w:tc>
        <w:tc>
          <w:tcPr>
            <w:tcW w:w="713" w:type="dxa"/>
            <w:tcBorders>
              <w:bottom w:val="single" w:sz="4" w:space="0" w:color="auto"/>
            </w:tcBorders>
            <w:shd w:val="clear" w:color="auto" w:fill="FFFFFF"/>
            <w:vAlign w:val="center"/>
          </w:tcPr>
          <w:p w14:paraId="287DDDA4" w14:textId="3437A731" w:rsidR="0055324C" w:rsidRPr="006D140E" w:rsidRDefault="00897EF7" w:rsidP="00C16488">
            <w:pPr>
              <w:jc w:val="center"/>
              <w:rPr>
                <w:sz w:val="36"/>
                <w:szCs w:val="36"/>
              </w:rPr>
            </w:pPr>
            <w:r w:rsidRPr="006D140E">
              <w:rPr>
                <w:sz w:val="36"/>
                <w:szCs w:val="36"/>
              </w:rPr>
              <w:t>2</w:t>
            </w:r>
          </w:p>
        </w:tc>
        <w:tc>
          <w:tcPr>
            <w:tcW w:w="713" w:type="dxa"/>
            <w:tcBorders>
              <w:bottom w:val="single" w:sz="4" w:space="0" w:color="auto"/>
            </w:tcBorders>
            <w:shd w:val="clear" w:color="auto" w:fill="FFFFFF"/>
            <w:vAlign w:val="center"/>
          </w:tcPr>
          <w:p w14:paraId="7FAC95F8" w14:textId="77777777" w:rsidR="0055324C" w:rsidRPr="006D140E" w:rsidRDefault="00BF10B6"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1B02508B" w14:textId="77777777" w:rsidR="0055324C" w:rsidRPr="006D140E" w:rsidRDefault="00BF10B6" w:rsidP="00C16488">
            <w:pPr>
              <w:jc w:val="center"/>
              <w:rPr>
                <w:sz w:val="36"/>
                <w:szCs w:val="36"/>
              </w:rPr>
            </w:pPr>
            <w:r w:rsidRPr="006D140E">
              <w:rPr>
                <w:sz w:val="36"/>
                <w:szCs w:val="36"/>
              </w:rPr>
              <w:t>0</w:t>
            </w:r>
          </w:p>
        </w:tc>
      </w:tr>
      <w:tr w:rsidR="00F8681E" w:rsidRPr="006D140E" w14:paraId="32EBEC3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D309BC4" w14:textId="77777777" w:rsidR="0055324C" w:rsidRPr="006D140E" w:rsidRDefault="0055324C" w:rsidP="0055324C">
            <w:r w:rsidRPr="006D140E">
              <w:t>John Swinton</w:t>
            </w:r>
          </w:p>
          <w:p w14:paraId="1CD46C2C" w14:textId="77777777" w:rsidR="0055324C" w:rsidRPr="006D140E" w:rsidRDefault="0055324C" w:rsidP="0055324C">
            <w:pPr>
              <w:rPr>
                <w:i/>
              </w:rPr>
            </w:pPr>
            <w:r w:rsidRPr="006D140E">
              <w:rPr>
                <w:i/>
              </w:rPr>
              <w:t>EFS, CoB, ECUS Member</w:t>
            </w:r>
          </w:p>
        </w:tc>
        <w:tc>
          <w:tcPr>
            <w:tcW w:w="486" w:type="dxa"/>
            <w:shd w:val="clear" w:color="auto" w:fill="auto"/>
            <w:vAlign w:val="center"/>
          </w:tcPr>
          <w:p w14:paraId="1C468FC8" w14:textId="77777777" w:rsidR="0055324C" w:rsidRPr="006D140E" w:rsidRDefault="0055324C" w:rsidP="00C16488">
            <w:pPr>
              <w:jc w:val="center"/>
              <w:rPr>
                <w:sz w:val="36"/>
                <w:szCs w:val="36"/>
              </w:rPr>
            </w:pPr>
            <w:r w:rsidRPr="006D140E">
              <w:rPr>
                <w:sz w:val="36"/>
                <w:szCs w:val="36"/>
              </w:rPr>
              <w:t>P</w:t>
            </w:r>
          </w:p>
        </w:tc>
        <w:tc>
          <w:tcPr>
            <w:tcW w:w="586" w:type="dxa"/>
            <w:shd w:val="clear" w:color="auto" w:fill="auto"/>
            <w:vAlign w:val="center"/>
          </w:tcPr>
          <w:p w14:paraId="5A069D2F" w14:textId="42EA920B" w:rsidR="0055324C" w:rsidRPr="006D140E" w:rsidRDefault="00897EF7" w:rsidP="00C16488">
            <w:pPr>
              <w:jc w:val="center"/>
              <w:rPr>
                <w:sz w:val="36"/>
                <w:szCs w:val="36"/>
              </w:rPr>
            </w:pPr>
            <w:r w:rsidRPr="006D140E">
              <w:rPr>
                <w:sz w:val="36"/>
                <w:szCs w:val="36"/>
              </w:rPr>
              <w:t>R</w:t>
            </w:r>
          </w:p>
        </w:tc>
        <w:tc>
          <w:tcPr>
            <w:tcW w:w="648" w:type="dxa"/>
            <w:shd w:val="clear" w:color="auto" w:fill="auto"/>
            <w:vAlign w:val="center"/>
          </w:tcPr>
          <w:p w14:paraId="4AC8F063" w14:textId="77777777" w:rsidR="0055324C" w:rsidRPr="006D140E" w:rsidRDefault="0055324C" w:rsidP="00C16488">
            <w:pPr>
              <w:jc w:val="center"/>
              <w:rPr>
                <w:sz w:val="36"/>
                <w:szCs w:val="36"/>
              </w:rPr>
            </w:pPr>
          </w:p>
        </w:tc>
        <w:tc>
          <w:tcPr>
            <w:tcW w:w="648" w:type="dxa"/>
            <w:shd w:val="clear" w:color="auto" w:fill="auto"/>
            <w:vAlign w:val="center"/>
          </w:tcPr>
          <w:p w14:paraId="19BAD76A" w14:textId="77777777" w:rsidR="0055324C" w:rsidRPr="006D140E" w:rsidRDefault="0055324C" w:rsidP="00C16488">
            <w:pPr>
              <w:jc w:val="center"/>
              <w:rPr>
                <w:sz w:val="36"/>
                <w:szCs w:val="36"/>
              </w:rPr>
            </w:pPr>
          </w:p>
        </w:tc>
        <w:tc>
          <w:tcPr>
            <w:tcW w:w="807" w:type="dxa"/>
            <w:shd w:val="clear" w:color="auto" w:fill="auto"/>
            <w:vAlign w:val="center"/>
          </w:tcPr>
          <w:p w14:paraId="2FE6C1FE" w14:textId="77777777" w:rsidR="0055324C" w:rsidRPr="006D140E" w:rsidRDefault="0055324C" w:rsidP="00C16488">
            <w:pPr>
              <w:jc w:val="center"/>
              <w:rPr>
                <w:sz w:val="36"/>
                <w:szCs w:val="36"/>
              </w:rPr>
            </w:pPr>
          </w:p>
        </w:tc>
        <w:tc>
          <w:tcPr>
            <w:tcW w:w="753" w:type="dxa"/>
            <w:shd w:val="clear" w:color="auto" w:fill="auto"/>
            <w:vAlign w:val="center"/>
          </w:tcPr>
          <w:p w14:paraId="42AD07DD" w14:textId="77777777" w:rsidR="0055324C" w:rsidRPr="006D140E" w:rsidRDefault="0055324C" w:rsidP="00C16488">
            <w:pPr>
              <w:jc w:val="center"/>
              <w:rPr>
                <w:sz w:val="36"/>
                <w:szCs w:val="36"/>
              </w:rPr>
            </w:pPr>
          </w:p>
        </w:tc>
        <w:tc>
          <w:tcPr>
            <w:tcW w:w="807" w:type="dxa"/>
            <w:shd w:val="clear" w:color="auto" w:fill="auto"/>
            <w:vAlign w:val="center"/>
          </w:tcPr>
          <w:p w14:paraId="031373EB" w14:textId="77777777" w:rsidR="0055324C" w:rsidRPr="006D140E" w:rsidRDefault="0055324C" w:rsidP="00C16488">
            <w:pPr>
              <w:jc w:val="center"/>
              <w:rPr>
                <w:sz w:val="36"/>
                <w:szCs w:val="36"/>
              </w:rPr>
            </w:pPr>
          </w:p>
        </w:tc>
        <w:tc>
          <w:tcPr>
            <w:tcW w:w="713" w:type="dxa"/>
            <w:vAlign w:val="center"/>
          </w:tcPr>
          <w:p w14:paraId="1C52AE8D" w14:textId="77777777" w:rsidR="0055324C" w:rsidRPr="006D140E" w:rsidRDefault="00BF10B6" w:rsidP="00C16488">
            <w:pPr>
              <w:jc w:val="center"/>
              <w:rPr>
                <w:sz w:val="36"/>
                <w:szCs w:val="36"/>
              </w:rPr>
            </w:pPr>
            <w:r w:rsidRPr="006D140E">
              <w:rPr>
                <w:sz w:val="36"/>
                <w:szCs w:val="36"/>
              </w:rPr>
              <w:t>1</w:t>
            </w:r>
          </w:p>
        </w:tc>
        <w:tc>
          <w:tcPr>
            <w:tcW w:w="713" w:type="dxa"/>
            <w:shd w:val="clear" w:color="auto" w:fill="auto"/>
            <w:vAlign w:val="center"/>
          </w:tcPr>
          <w:p w14:paraId="2AFF2933" w14:textId="31202484" w:rsidR="0055324C" w:rsidRPr="006D140E" w:rsidRDefault="00897EF7" w:rsidP="00C16488">
            <w:pPr>
              <w:jc w:val="center"/>
              <w:rPr>
                <w:sz w:val="36"/>
                <w:szCs w:val="36"/>
              </w:rPr>
            </w:pPr>
            <w:r w:rsidRPr="006D140E">
              <w:rPr>
                <w:sz w:val="36"/>
                <w:szCs w:val="36"/>
              </w:rPr>
              <w:t>1</w:t>
            </w:r>
          </w:p>
        </w:tc>
        <w:tc>
          <w:tcPr>
            <w:tcW w:w="713" w:type="dxa"/>
            <w:tcBorders>
              <w:right w:val="double" w:sz="4" w:space="0" w:color="auto"/>
            </w:tcBorders>
            <w:shd w:val="clear" w:color="auto" w:fill="auto"/>
            <w:vAlign w:val="center"/>
          </w:tcPr>
          <w:p w14:paraId="19DC4912" w14:textId="77777777" w:rsidR="0055324C" w:rsidRPr="006D140E" w:rsidRDefault="00BF10B6" w:rsidP="00C16488">
            <w:pPr>
              <w:jc w:val="center"/>
              <w:rPr>
                <w:sz w:val="36"/>
                <w:szCs w:val="36"/>
              </w:rPr>
            </w:pPr>
            <w:r w:rsidRPr="006D140E">
              <w:rPr>
                <w:sz w:val="36"/>
                <w:szCs w:val="36"/>
              </w:rPr>
              <w:t>0</w:t>
            </w:r>
          </w:p>
        </w:tc>
      </w:tr>
      <w:tr w:rsidR="004E3E6B" w:rsidRPr="006D140E" w14:paraId="39C2DF84"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3B09209" w14:textId="79BD5F34" w:rsidR="004E3E6B" w:rsidRPr="006D140E" w:rsidRDefault="004E3E6B" w:rsidP="004E3E6B">
            <w:r w:rsidRPr="006D140E">
              <w:t xml:space="preserve">Nicole DeClouette </w:t>
            </w:r>
            <w:r w:rsidRPr="006D140E">
              <w:rPr>
                <w:i/>
                <w:iCs/>
              </w:rPr>
              <w:t>APC Chair</w:t>
            </w:r>
          </w:p>
        </w:tc>
        <w:tc>
          <w:tcPr>
            <w:tcW w:w="486" w:type="dxa"/>
            <w:shd w:val="clear" w:color="auto" w:fill="auto"/>
            <w:vAlign w:val="center"/>
          </w:tcPr>
          <w:p w14:paraId="47DF19F8" w14:textId="2FFD2F99" w:rsidR="004E3E6B" w:rsidRPr="006D140E" w:rsidRDefault="004E3E6B" w:rsidP="004E3E6B">
            <w:pPr>
              <w:jc w:val="center"/>
              <w:rPr>
                <w:sz w:val="36"/>
                <w:szCs w:val="36"/>
              </w:rPr>
            </w:pPr>
            <w:r w:rsidRPr="006D140E">
              <w:rPr>
                <w:sz w:val="36"/>
                <w:szCs w:val="36"/>
              </w:rPr>
              <w:t>R</w:t>
            </w:r>
          </w:p>
        </w:tc>
        <w:tc>
          <w:tcPr>
            <w:tcW w:w="586" w:type="dxa"/>
            <w:tcBorders>
              <w:bottom w:val="single" w:sz="4" w:space="0" w:color="auto"/>
            </w:tcBorders>
            <w:shd w:val="clear" w:color="auto" w:fill="auto"/>
            <w:vAlign w:val="center"/>
          </w:tcPr>
          <w:p w14:paraId="54F4097F" w14:textId="27640BC7" w:rsidR="004E3E6B" w:rsidRPr="006D140E" w:rsidRDefault="004E3E6B" w:rsidP="004E3E6B">
            <w:pPr>
              <w:jc w:val="center"/>
              <w:rPr>
                <w:sz w:val="36"/>
                <w:szCs w:val="36"/>
              </w:rPr>
            </w:pPr>
            <w:r w:rsidRPr="006D140E">
              <w:rPr>
                <w:sz w:val="36"/>
                <w:szCs w:val="36"/>
              </w:rPr>
              <w:t>R</w:t>
            </w:r>
          </w:p>
        </w:tc>
        <w:tc>
          <w:tcPr>
            <w:tcW w:w="648" w:type="dxa"/>
            <w:tcBorders>
              <w:bottom w:val="single" w:sz="4" w:space="0" w:color="auto"/>
            </w:tcBorders>
            <w:shd w:val="clear" w:color="auto" w:fill="auto"/>
            <w:vAlign w:val="center"/>
          </w:tcPr>
          <w:p w14:paraId="311D3523" w14:textId="77777777" w:rsidR="004E3E6B" w:rsidRPr="006D140E" w:rsidRDefault="004E3E6B" w:rsidP="004E3E6B">
            <w:pPr>
              <w:jc w:val="center"/>
              <w:rPr>
                <w:sz w:val="36"/>
                <w:szCs w:val="36"/>
              </w:rPr>
            </w:pPr>
          </w:p>
        </w:tc>
        <w:tc>
          <w:tcPr>
            <w:tcW w:w="648" w:type="dxa"/>
            <w:tcBorders>
              <w:bottom w:val="single" w:sz="4" w:space="0" w:color="auto"/>
            </w:tcBorders>
            <w:shd w:val="clear" w:color="auto" w:fill="auto"/>
            <w:vAlign w:val="center"/>
          </w:tcPr>
          <w:p w14:paraId="488C5E0D"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4C00E67F"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599784CE"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24CEB78B"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296407C5" w14:textId="6A9F5E7D" w:rsidR="004E3E6B" w:rsidRPr="006D140E" w:rsidRDefault="004E3E6B" w:rsidP="004E3E6B">
            <w:pPr>
              <w:jc w:val="center"/>
              <w:rPr>
                <w:sz w:val="36"/>
                <w:szCs w:val="36"/>
              </w:rPr>
            </w:pPr>
            <w:r w:rsidRPr="006D140E">
              <w:rPr>
                <w:sz w:val="36"/>
                <w:szCs w:val="36"/>
              </w:rPr>
              <w:t>0</w:t>
            </w:r>
          </w:p>
        </w:tc>
        <w:tc>
          <w:tcPr>
            <w:tcW w:w="713" w:type="dxa"/>
            <w:tcBorders>
              <w:bottom w:val="single" w:sz="4" w:space="0" w:color="auto"/>
            </w:tcBorders>
            <w:shd w:val="clear" w:color="auto" w:fill="auto"/>
            <w:vAlign w:val="center"/>
          </w:tcPr>
          <w:p w14:paraId="7D8AD3D9" w14:textId="2BE02220" w:rsidR="004E3E6B" w:rsidRPr="006D140E" w:rsidRDefault="004E3E6B" w:rsidP="004E3E6B">
            <w:pPr>
              <w:jc w:val="center"/>
              <w:rPr>
                <w:sz w:val="36"/>
                <w:szCs w:val="36"/>
              </w:rPr>
            </w:pPr>
            <w:r w:rsidRPr="006D140E">
              <w:rPr>
                <w:sz w:val="36"/>
                <w:szCs w:val="36"/>
              </w:rPr>
              <w:t>2</w:t>
            </w:r>
          </w:p>
        </w:tc>
        <w:tc>
          <w:tcPr>
            <w:tcW w:w="713" w:type="dxa"/>
            <w:tcBorders>
              <w:bottom w:val="single" w:sz="4" w:space="0" w:color="auto"/>
              <w:right w:val="double" w:sz="4" w:space="0" w:color="auto"/>
            </w:tcBorders>
            <w:shd w:val="clear" w:color="auto" w:fill="auto"/>
            <w:vAlign w:val="center"/>
          </w:tcPr>
          <w:p w14:paraId="51EE3061" w14:textId="081855EF" w:rsidR="004E3E6B" w:rsidRPr="006D140E" w:rsidRDefault="004E3E6B" w:rsidP="004E3E6B">
            <w:pPr>
              <w:jc w:val="center"/>
              <w:rPr>
                <w:sz w:val="36"/>
                <w:szCs w:val="36"/>
              </w:rPr>
            </w:pPr>
            <w:r w:rsidRPr="006D140E">
              <w:rPr>
                <w:sz w:val="36"/>
                <w:szCs w:val="36"/>
              </w:rPr>
              <w:t>0</w:t>
            </w:r>
          </w:p>
        </w:tc>
      </w:tr>
      <w:tr w:rsidR="004E3E6B" w:rsidRPr="006D140E" w14:paraId="7B202CD5"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AE8A4E7" w14:textId="77777777" w:rsidR="004E3E6B" w:rsidRPr="006D140E" w:rsidRDefault="004E3E6B" w:rsidP="004E3E6B">
            <w:r w:rsidRPr="006D140E">
              <w:t>Matt Forrest</w:t>
            </w:r>
          </w:p>
          <w:p w14:paraId="5DB8D121" w14:textId="1A0AEB8A" w:rsidR="004E3E6B" w:rsidRPr="006D140E" w:rsidRDefault="004E3E6B" w:rsidP="004E3E6B">
            <w:pPr>
              <w:rPr>
                <w:i/>
                <w:iCs/>
              </w:rPr>
            </w:pPr>
            <w:r w:rsidRPr="006D140E">
              <w:rPr>
                <w:i/>
                <w:iCs/>
              </w:rPr>
              <w:t>FAPC Chair</w:t>
            </w:r>
          </w:p>
        </w:tc>
        <w:tc>
          <w:tcPr>
            <w:tcW w:w="486" w:type="dxa"/>
            <w:shd w:val="clear" w:color="auto" w:fill="auto"/>
            <w:vAlign w:val="center"/>
          </w:tcPr>
          <w:p w14:paraId="163BD095" w14:textId="1F17DB3F" w:rsidR="004E3E6B" w:rsidRPr="006D140E" w:rsidRDefault="004E3E6B" w:rsidP="004E3E6B">
            <w:pPr>
              <w:jc w:val="center"/>
              <w:rPr>
                <w:sz w:val="36"/>
                <w:szCs w:val="36"/>
              </w:rPr>
            </w:pPr>
            <w:r w:rsidRPr="006D140E">
              <w:rPr>
                <w:sz w:val="36"/>
                <w:szCs w:val="36"/>
              </w:rPr>
              <w:t>P</w:t>
            </w:r>
          </w:p>
        </w:tc>
        <w:tc>
          <w:tcPr>
            <w:tcW w:w="586" w:type="dxa"/>
            <w:tcBorders>
              <w:bottom w:val="single" w:sz="4" w:space="0" w:color="auto"/>
            </w:tcBorders>
            <w:shd w:val="clear" w:color="auto" w:fill="auto"/>
            <w:vAlign w:val="center"/>
          </w:tcPr>
          <w:p w14:paraId="0FBDA5B2" w14:textId="44248D63" w:rsidR="004E3E6B" w:rsidRPr="006D140E" w:rsidRDefault="004E3E6B" w:rsidP="004E3E6B">
            <w:pPr>
              <w:jc w:val="center"/>
              <w:rPr>
                <w:sz w:val="36"/>
                <w:szCs w:val="36"/>
              </w:rPr>
            </w:pPr>
            <w:r w:rsidRPr="006D140E">
              <w:rPr>
                <w:sz w:val="36"/>
                <w:szCs w:val="36"/>
              </w:rPr>
              <w:t>P</w:t>
            </w:r>
          </w:p>
        </w:tc>
        <w:tc>
          <w:tcPr>
            <w:tcW w:w="648" w:type="dxa"/>
            <w:tcBorders>
              <w:bottom w:val="single" w:sz="4" w:space="0" w:color="auto"/>
            </w:tcBorders>
            <w:shd w:val="clear" w:color="auto" w:fill="auto"/>
            <w:vAlign w:val="center"/>
          </w:tcPr>
          <w:p w14:paraId="798A4EAA" w14:textId="77777777" w:rsidR="004E3E6B" w:rsidRPr="006D140E" w:rsidRDefault="004E3E6B" w:rsidP="004E3E6B">
            <w:pPr>
              <w:jc w:val="center"/>
              <w:rPr>
                <w:sz w:val="36"/>
                <w:szCs w:val="36"/>
              </w:rPr>
            </w:pPr>
          </w:p>
        </w:tc>
        <w:tc>
          <w:tcPr>
            <w:tcW w:w="648" w:type="dxa"/>
            <w:tcBorders>
              <w:bottom w:val="single" w:sz="4" w:space="0" w:color="auto"/>
            </w:tcBorders>
            <w:shd w:val="clear" w:color="auto" w:fill="auto"/>
            <w:vAlign w:val="center"/>
          </w:tcPr>
          <w:p w14:paraId="49F8C804"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681E2FD2"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691D7A7B"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2AF0AFCE"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6E95339F" w14:textId="06A6BB3C" w:rsidR="004E3E6B" w:rsidRPr="006D140E" w:rsidRDefault="004E3E6B" w:rsidP="004E3E6B">
            <w:pPr>
              <w:jc w:val="center"/>
              <w:rPr>
                <w:sz w:val="36"/>
                <w:szCs w:val="36"/>
              </w:rPr>
            </w:pPr>
            <w:r w:rsidRPr="006D140E">
              <w:rPr>
                <w:sz w:val="36"/>
                <w:szCs w:val="36"/>
              </w:rPr>
              <w:t>2</w:t>
            </w:r>
          </w:p>
        </w:tc>
        <w:tc>
          <w:tcPr>
            <w:tcW w:w="713" w:type="dxa"/>
            <w:tcBorders>
              <w:bottom w:val="single" w:sz="4" w:space="0" w:color="auto"/>
            </w:tcBorders>
            <w:shd w:val="clear" w:color="auto" w:fill="auto"/>
            <w:vAlign w:val="center"/>
          </w:tcPr>
          <w:p w14:paraId="6CEA4708" w14:textId="4569A8BD" w:rsidR="004E3E6B" w:rsidRPr="006D140E" w:rsidRDefault="004E3E6B" w:rsidP="004E3E6B">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auto"/>
            <w:vAlign w:val="center"/>
          </w:tcPr>
          <w:p w14:paraId="72B3E9E0" w14:textId="017B407E" w:rsidR="004E3E6B" w:rsidRPr="006D140E" w:rsidRDefault="004E3E6B" w:rsidP="004E3E6B">
            <w:pPr>
              <w:jc w:val="center"/>
              <w:rPr>
                <w:sz w:val="36"/>
                <w:szCs w:val="36"/>
              </w:rPr>
            </w:pPr>
            <w:r w:rsidRPr="006D140E">
              <w:rPr>
                <w:sz w:val="36"/>
                <w:szCs w:val="36"/>
              </w:rPr>
              <w:t>0</w:t>
            </w:r>
          </w:p>
        </w:tc>
      </w:tr>
      <w:tr w:rsidR="004E3E6B" w:rsidRPr="006D140E" w14:paraId="130E5FD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3C2A356A" w14:textId="77777777" w:rsidR="004E3E6B" w:rsidRPr="006D140E" w:rsidRDefault="004E3E6B" w:rsidP="004E3E6B">
            <w:r w:rsidRPr="006D140E">
              <w:t>Sabrina Hom</w:t>
            </w:r>
          </w:p>
          <w:p w14:paraId="07D64C56" w14:textId="3A4FEDD6" w:rsidR="004E3E6B" w:rsidRPr="006D140E" w:rsidRDefault="004E3E6B" w:rsidP="004E3E6B">
            <w:pPr>
              <w:rPr>
                <w:i/>
                <w:iCs/>
              </w:rPr>
            </w:pPr>
            <w:r w:rsidRPr="006D140E">
              <w:rPr>
                <w:i/>
                <w:iCs/>
              </w:rPr>
              <w:t>RPIPC Chair</w:t>
            </w:r>
          </w:p>
        </w:tc>
        <w:tc>
          <w:tcPr>
            <w:tcW w:w="486" w:type="dxa"/>
            <w:shd w:val="clear" w:color="auto" w:fill="auto"/>
            <w:vAlign w:val="center"/>
          </w:tcPr>
          <w:p w14:paraId="433B2B86" w14:textId="7142D17B" w:rsidR="004E3E6B" w:rsidRPr="006D140E" w:rsidRDefault="004E3E6B" w:rsidP="004E3E6B">
            <w:pPr>
              <w:jc w:val="center"/>
              <w:rPr>
                <w:sz w:val="36"/>
                <w:szCs w:val="36"/>
              </w:rPr>
            </w:pPr>
            <w:r w:rsidRPr="006D140E">
              <w:rPr>
                <w:sz w:val="36"/>
                <w:szCs w:val="36"/>
              </w:rPr>
              <w:t>P</w:t>
            </w:r>
          </w:p>
        </w:tc>
        <w:tc>
          <w:tcPr>
            <w:tcW w:w="586" w:type="dxa"/>
            <w:tcBorders>
              <w:bottom w:val="single" w:sz="4" w:space="0" w:color="auto"/>
            </w:tcBorders>
            <w:shd w:val="clear" w:color="auto" w:fill="auto"/>
            <w:vAlign w:val="center"/>
          </w:tcPr>
          <w:p w14:paraId="50019AEE" w14:textId="4950DC5E" w:rsidR="004E3E6B" w:rsidRPr="006D140E" w:rsidRDefault="004E3E6B" w:rsidP="004E3E6B">
            <w:pPr>
              <w:jc w:val="center"/>
              <w:rPr>
                <w:sz w:val="36"/>
                <w:szCs w:val="36"/>
              </w:rPr>
            </w:pPr>
            <w:r w:rsidRPr="006D140E">
              <w:rPr>
                <w:sz w:val="36"/>
                <w:szCs w:val="36"/>
              </w:rPr>
              <w:t>P</w:t>
            </w:r>
          </w:p>
        </w:tc>
        <w:tc>
          <w:tcPr>
            <w:tcW w:w="648" w:type="dxa"/>
            <w:tcBorders>
              <w:bottom w:val="single" w:sz="4" w:space="0" w:color="auto"/>
            </w:tcBorders>
            <w:shd w:val="clear" w:color="auto" w:fill="auto"/>
            <w:vAlign w:val="center"/>
          </w:tcPr>
          <w:p w14:paraId="68A181D6" w14:textId="77777777" w:rsidR="004E3E6B" w:rsidRPr="006D140E" w:rsidRDefault="004E3E6B" w:rsidP="004E3E6B">
            <w:pPr>
              <w:jc w:val="center"/>
              <w:rPr>
                <w:sz w:val="36"/>
                <w:szCs w:val="36"/>
              </w:rPr>
            </w:pPr>
          </w:p>
        </w:tc>
        <w:tc>
          <w:tcPr>
            <w:tcW w:w="648" w:type="dxa"/>
            <w:tcBorders>
              <w:bottom w:val="single" w:sz="4" w:space="0" w:color="auto"/>
            </w:tcBorders>
            <w:shd w:val="clear" w:color="auto" w:fill="auto"/>
            <w:vAlign w:val="center"/>
          </w:tcPr>
          <w:p w14:paraId="16FEE5BB"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4BBFFB7E"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1F1FF255"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27A06D63"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509145E2" w14:textId="7065CF7A" w:rsidR="004E3E6B" w:rsidRPr="006D140E" w:rsidRDefault="004E3E6B" w:rsidP="004E3E6B">
            <w:pPr>
              <w:jc w:val="center"/>
              <w:rPr>
                <w:sz w:val="36"/>
                <w:szCs w:val="36"/>
              </w:rPr>
            </w:pPr>
            <w:r w:rsidRPr="006D140E">
              <w:rPr>
                <w:sz w:val="36"/>
                <w:szCs w:val="36"/>
              </w:rPr>
              <w:t>2</w:t>
            </w:r>
          </w:p>
        </w:tc>
        <w:tc>
          <w:tcPr>
            <w:tcW w:w="713" w:type="dxa"/>
            <w:tcBorders>
              <w:bottom w:val="single" w:sz="4" w:space="0" w:color="auto"/>
            </w:tcBorders>
            <w:shd w:val="clear" w:color="auto" w:fill="auto"/>
            <w:vAlign w:val="center"/>
          </w:tcPr>
          <w:p w14:paraId="7032BD8D" w14:textId="0CD573E2" w:rsidR="004E3E6B" w:rsidRPr="006D140E" w:rsidRDefault="004E3E6B" w:rsidP="004E3E6B">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auto"/>
            <w:vAlign w:val="center"/>
          </w:tcPr>
          <w:p w14:paraId="659EAAE1" w14:textId="73CB6E27" w:rsidR="004E3E6B" w:rsidRPr="006D140E" w:rsidRDefault="004E3E6B" w:rsidP="004E3E6B">
            <w:pPr>
              <w:jc w:val="center"/>
              <w:rPr>
                <w:sz w:val="36"/>
                <w:szCs w:val="36"/>
              </w:rPr>
            </w:pPr>
            <w:r w:rsidRPr="006D140E">
              <w:rPr>
                <w:sz w:val="36"/>
                <w:szCs w:val="36"/>
              </w:rPr>
              <w:t>0</w:t>
            </w:r>
          </w:p>
        </w:tc>
      </w:tr>
      <w:tr w:rsidR="004E3E6B" w:rsidRPr="006D140E" w14:paraId="1C51AB96"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22E7D61" w14:textId="04305417" w:rsidR="004E3E6B" w:rsidRPr="006D140E" w:rsidRDefault="004E3E6B" w:rsidP="004E3E6B">
            <w:r w:rsidRPr="006D140E">
              <w:lastRenderedPageBreak/>
              <w:t>Angela Criscoe (SAPC Chair)</w:t>
            </w:r>
          </w:p>
        </w:tc>
        <w:tc>
          <w:tcPr>
            <w:tcW w:w="486" w:type="dxa"/>
            <w:shd w:val="clear" w:color="auto" w:fill="auto"/>
            <w:vAlign w:val="center"/>
          </w:tcPr>
          <w:p w14:paraId="7C8CEE2B" w14:textId="5E4DD231" w:rsidR="004E3E6B" w:rsidRPr="006D140E" w:rsidRDefault="004E3E6B" w:rsidP="004E3E6B">
            <w:pPr>
              <w:jc w:val="center"/>
              <w:rPr>
                <w:sz w:val="36"/>
                <w:szCs w:val="36"/>
              </w:rPr>
            </w:pPr>
            <w:r w:rsidRPr="006D140E">
              <w:rPr>
                <w:sz w:val="36"/>
                <w:szCs w:val="36"/>
              </w:rPr>
              <w:t>P</w:t>
            </w:r>
          </w:p>
        </w:tc>
        <w:tc>
          <w:tcPr>
            <w:tcW w:w="586" w:type="dxa"/>
            <w:tcBorders>
              <w:bottom w:val="single" w:sz="4" w:space="0" w:color="auto"/>
            </w:tcBorders>
            <w:shd w:val="clear" w:color="auto" w:fill="auto"/>
            <w:vAlign w:val="center"/>
          </w:tcPr>
          <w:p w14:paraId="4599D23E" w14:textId="3E22CDFA" w:rsidR="004E3E6B" w:rsidRPr="006D140E" w:rsidRDefault="004E3E6B" w:rsidP="004E3E6B">
            <w:pPr>
              <w:jc w:val="center"/>
              <w:rPr>
                <w:sz w:val="36"/>
                <w:szCs w:val="36"/>
              </w:rPr>
            </w:pPr>
            <w:r w:rsidRPr="006D140E">
              <w:rPr>
                <w:sz w:val="36"/>
                <w:szCs w:val="36"/>
              </w:rPr>
              <w:t>P</w:t>
            </w:r>
          </w:p>
        </w:tc>
        <w:tc>
          <w:tcPr>
            <w:tcW w:w="648" w:type="dxa"/>
            <w:tcBorders>
              <w:bottom w:val="single" w:sz="4" w:space="0" w:color="auto"/>
            </w:tcBorders>
            <w:shd w:val="clear" w:color="auto" w:fill="auto"/>
            <w:vAlign w:val="center"/>
          </w:tcPr>
          <w:p w14:paraId="392380A5" w14:textId="77777777" w:rsidR="004E3E6B" w:rsidRPr="006D140E" w:rsidRDefault="004E3E6B" w:rsidP="004E3E6B">
            <w:pPr>
              <w:jc w:val="center"/>
              <w:rPr>
                <w:sz w:val="36"/>
                <w:szCs w:val="36"/>
              </w:rPr>
            </w:pPr>
          </w:p>
        </w:tc>
        <w:tc>
          <w:tcPr>
            <w:tcW w:w="648" w:type="dxa"/>
            <w:tcBorders>
              <w:bottom w:val="single" w:sz="4" w:space="0" w:color="auto"/>
            </w:tcBorders>
            <w:shd w:val="clear" w:color="auto" w:fill="auto"/>
            <w:vAlign w:val="center"/>
          </w:tcPr>
          <w:p w14:paraId="220B17E7"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1EA0CA38"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197A7CE5"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0B1619A9"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69E33246" w14:textId="6A857DBC" w:rsidR="004E3E6B" w:rsidRPr="006D140E" w:rsidRDefault="004E3E6B" w:rsidP="004E3E6B">
            <w:pPr>
              <w:jc w:val="center"/>
              <w:rPr>
                <w:sz w:val="36"/>
                <w:szCs w:val="36"/>
              </w:rPr>
            </w:pPr>
            <w:r w:rsidRPr="006D140E">
              <w:rPr>
                <w:sz w:val="36"/>
                <w:szCs w:val="36"/>
              </w:rPr>
              <w:t>2</w:t>
            </w:r>
          </w:p>
        </w:tc>
        <w:tc>
          <w:tcPr>
            <w:tcW w:w="713" w:type="dxa"/>
            <w:tcBorders>
              <w:bottom w:val="single" w:sz="4" w:space="0" w:color="auto"/>
            </w:tcBorders>
            <w:shd w:val="clear" w:color="auto" w:fill="auto"/>
            <w:vAlign w:val="center"/>
          </w:tcPr>
          <w:p w14:paraId="4C0C8504" w14:textId="1E3590A2" w:rsidR="004E3E6B" w:rsidRPr="006D140E" w:rsidRDefault="004E3E6B" w:rsidP="004E3E6B">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auto"/>
            <w:vAlign w:val="center"/>
          </w:tcPr>
          <w:p w14:paraId="1757BF46" w14:textId="07FA4995" w:rsidR="004E3E6B" w:rsidRPr="006D140E" w:rsidRDefault="004E3E6B" w:rsidP="004E3E6B">
            <w:pPr>
              <w:jc w:val="center"/>
              <w:rPr>
                <w:sz w:val="36"/>
                <w:szCs w:val="36"/>
              </w:rPr>
            </w:pPr>
            <w:r w:rsidRPr="006D140E">
              <w:rPr>
                <w:sz w:val="36"/>
                <w:szCs w:val="36"/>
              </w:rPr>
              <w:t>0</w:t>
            </w:r>
          </w:p>
        </w:tc>
      </w:tr>
    </w:tbl>
    <w:p w14:paraId="48F3D223" w14:textId="1B3427D7" w:rsidR="00973FD5" w:rsidRPr="006D140E" w:rsidRDefault="00973FD5">
      <w:pPr>
        <w:tabs>
          <w:tab w:val="right" w:pos="14314"/>
        </w:tabs>
        <w:rPr>
          <w:sz w:val="20"/>
          <w:u w:val="single"/>
        </w:rPr>
      </w:pPr>
    </w:p>
    <w:sectPr w:rsidR="00973FD5" w:rsidRPr="006D140E"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B6DA" w14:textId="77777777" w:rsidR="002D4243" w:rsidRDefault="002D4243">
      <w:r>
        <w:separator/>
      </w:r>
    </w:p>
  </w:endnote>
  <w:endnote w:type="continuationSeparator" w:id="0">
    <w:p w14:paraId="340424AD" w14:textId="77777777" w:rsidR="002D4243" w:rsidRDefault="002D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2BB5" w14:textId="0E2BE656" w:rsidR="000173B5" w:rsidRPr="009A508C" w:rsidRDefault="000173B5" w:rsidP="00DA6A83">
    <w:pPr>
      <w:pStyle w:val="Footer"/>
      <w:tabs>
        <w:tab w:val="clear" w:pos="8640"/>
        <w:tab w:val="right" w:pos="14310"/>
      </w:tabs>
      <w:rPr>
        <w:sz w:val="20"/>
        <w:szCs w:val="20"/>
      </w:rPr>
    </w:pPr>
    <w:r>
      <w:rPr>
        <w:i/>
        <w:sz w:val="20"/>
        <w:szCs w:val="20"/>
      </w:rPr>
      <w:t xml:space="preserve">4 October 2019 </w:t>
    </w:r>
    <w:r w:rsidRPr="009A508C">
      <w:rPr>
        <w:i/>
        <w:sz w:val="20"/>
        <w:szCs w:val="20"/>
      </w:rPr>
      <w:t>ECUS</w:t>
    </w:r>
    <w:r>
      <w:rPr>
        <w:i/>
        <w:sz w:val="20"/>
        <w:szCs w:val="20"/>
      </w:rPr>
      <w:t>-SCC</w:t>
    </w:r>
    <w:r w:rsidRPr="009A508C">
      <w:rPr>
        <w:i/>
        <w:sz w:val="20"/>
        <w:szCs w:val="20"/>
      </w:rPr>
      <w:t xml:space="preserve"> Meeting Minutes (</w:t>
    </w:r>
    <w:r w:rsidR="00701721">
      <w:rPr>
        <w:i/>
        <w:sz w:val="20"/>
        <w:szCs w:val="20"/>
      </w:rPr>
      <w:t>FINAL</w:t>
    </w:r>
    <w:r>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0173B5" w:rsidRPr="00BB568D" w:rsidRDefault="000173B5" w:rsidP="00DA6A83">
    <w:pPr>
      <w:pStyle w:val="Footer"/>
      <w:tabs>
        <w:tab w:val="clear" w:pos="4320"/>
        <w:tab w:val="clear" w:pos="8640"/>
        <w:tab w:val="right" w:pos="13770"/>
      </w:tabs>
      <w:ind w:left="-180"/>
      <w:rPr>
        <w:i/>
        <w:sz w:val="20"/>
        <w:szCs w:val="20"/>
      </w:rPr>
    </w:pPr>
  </w:p>
  <w:p w14:paraId="6AD60BEF" w14:textId="77777777" w:rsidR="000173B5" w:rsidRDefault="00017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61FD1" w14:textId="77777777" w:rsidR="002D4243" w:rsidRDefault="002D4243">
      <w:r>
        <w:separator/>
      </w:r>
    </w:p>
  </w:footnote>
  <w:footnote w:type="continuationSeparator" w:id="0">
    <w:p w14:paraId="662D45F8" w14:textId="77777777" w:rsidR="002D4243" w:rsidRDefault="002D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3228"/>
    <w:multiLevelType w:val="hybridMultilevel"/>
    <w:tmpl w:val="A7BEB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14620E"/>
    <w:multiLevelType w:val="hybridMultilevel"/>
    <w:tmpl w:val="1204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5" w15:restartNumberingAfterBreak="0">
    <w:nsid w:val="06BF7087"/>
    <w:multiLevelType w:val="hybridMultilevel"/>
    <w:tmpl w:val="7086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87155"/>
    <w:multiLevelType w:val="hybridMultilevel"/>
    <w:tmpl w:val="2364F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5" w15:restartNumberingAfterBreak="0">
    <w:nsid w:val="213113B4"/>
    <w:multiLevelType w:val="hybridMultilevel"/>
    <w:tmpl w:val="FFA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F6F2E"/>
    <w:multiLevelType w:val="hybridMultilevel"/>
    <w:tmpl w:val="50288358"/>
    <w:lvl w:ilvl="0" w:tplc="432E884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E46446"/>
    <w:multiLevelType w:val="hybridMultilevel"/>
    <w:tmpl w:val="B240C97A"/>
    <w:lvl w:ilvl="0" w:tplc="F8602A14">
      <w:start w:val="1"/>
      <w:numFmt w:val="decimal"/>
      <w:lvlText w:val="%1."/>
      <w:lvlJc w:val="left"/>
      <w:pPr>
        <w:tabs>
          <w:tab w:val="num" w:pos="360"/>
        </w:tabs>
        <w:ind w:left="360" w:hanging="360"/>
      </w:pPr>
      <w:rPr>
        <w:rFonts w:hint="default"/>
      </w:rPr>
    </w:lvl>
    <w:lvl w:ilvl="1" w:tplc="828CA9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FB00D5"/>
    <w:multiLevelType w:val="hybridMultilevel"/>
    <w:tmpl w:val="1EDA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3A5C"/>
    <w:multiLevelType w:val="hybridMultilevel"/>
    <w:tmpl w:val="5A86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209BB"/>
    <w:multiLevelType w:val="hybridMultilevel"/>
    <w:tmpl w:val="00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320D"/>
    <w:multiLevelType w:val="hybridMultilevel"/>
    <w:tmpl w:val="47F60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BD69FF"/>
    <w:multiLevelType w:val="hybridMultilevel"/>
    <w:tmpl w:val="003A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FA7D46"/>
    <w:multiLevelType w:val="multilevel"/>
    <w:tmpl w:val="8E84D6BC"/>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84F8C"/>
    <w:multiLevelType w:val="hybridMultilevel"/>
    <w:tmpl w:val="5C9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E1156"/>
    <w:multiLevelType w:val="hybridMultilevel"/>
    <w:tmpl w:val="485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C456B"/>
    <w:multiLevelType w:val="hybridMultilevel"/>
    <w:tmpl w:val="1EDA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8714E"/>
    <w:multiLevelType w:val="hybridMultilevel"/>
    <w:tmpl w:val="72DA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7"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642AC"/>
    <w:multiLevelType w:val="hybridMultilevel"/>
    <w:tmpl w:val="F8C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0C485E"/>
    <w:multiLevelType w:val="hybridMultilevel"/>
    <w:tmpl w:val="FC46B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30EDB"/>
    <w:multiLevelType w:val="hybridMultilevel"/>
    <w:tmpl w:val="522A9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FF02909"/>
    <w:multiLevelType w:val="hybridMultilevel"/>
    <w:tmpl w:val="E36E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313E5"/>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7"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8"/>
  </w:num>
  <w:num w:numId="4">
    <w:abstractNumId w:val="27"/>
  </w:num>
  <w:num w:numId="5">
    <w:abstractNumId w:val="43"/>
  </w:num>
  <w:num w:numId="6">
    <w:abstractNumId w:val="7"/>
  </w:num>
  <w:num w:numId="7">
    <w:abstractNumId w:val="29"/>
  </w:num>
  <w:num w:numId="8">
    <w:abstractNumId w:val="11"/>
  </w:num>
  <w:num w:numId="9">
    <w:abstractNumId w:val="39"/>
  </w:num>
  <w:num w:numId="10">
    <w:abstractNumId w:val="4"/>
  </w:num>
  <w:num w:numId="11">
    <w:abstractNumId w:val="46"/>
  </w:num>
  <w:num w:numId="12">
    <w:abstractNumId w:val="14"/>
  </w:num>
  <w:num w:numId="13">
    <w:abstractNumId w:val="13"/>
  </w:num>
  <w:num w:numId="14">
    <w:abstractNumId w:val="0"/>
  </w:num>
  <w:num w:numId="15">
    <w:abstractNumId w:val="36"/>
  </w:num>
  <w:num w:numId="16">
    <w:abstractNumId w:val="9"/>
  </w:num>
  <w:num w:numId="17">
    <w:abstractNumId w:val="12"/>
  </w:num>
  <w:num w:numId="18">
    <w:abstractNumId w:val="38"/>
  </w:num>
  <w:num w:numId="19">
    <w:abstractNumId w:val="10"/>
  </w:num>
  <w:num w:numId="20">
    <w:abstractNumId w:val="2"/>
  </w:num>
  <w:num w:numId="21">
    <w:abstractNumId w:val="19"/>
  </w:num>
  <w:num w:numId="22">
    <w:abstractNumId w:val="47"/>
  </w:num>
  <w:num w:numId="23">
    <w:abstractNumId w:val="15"/>
  </w:num>
  <w:num w:numId="24">
    <w:abstractNumId w:val="34"/>
  </w:num>
  <w:num w:numId="25">
    <w:abstractNumId w:val="32"/>
  </w:num>
  <w:num w:numId="26">
    <w:abstractNumId w:val="18"/>
  </w:num>
  <w:num w:numId="27">
    <w:abstractNumId w:val="23"/>
  </w:num>
  <w:num w:numId="28">
    <w:abstractNumId w:val="16"/>
  </w:num>
  <w:num w:numId="29">
    <w:abstractNumId w:val="40"/>
  </w:num>
  <w:num w:numId="30">
    <w:abstractNumId w:val="42"/>
  </w:num>
  <w:num w:numId="31">
    <w:abstractNumId w:val="6"/>
  </w:num>
  <w:num w:numId="32">
    <w:abstractNumId w:val="31"/>
  </w:num>
  <w:num w:numId="33">
    <w:abstractNumId w:val="25"/>
  </w:num>
  <w:num w:numId="34">
    <w:abstractNumId w:val="45"/>
  </w:num>
  <w:num w:numId="35">
    <w:abstractNumId w:val="35"/>
  </w:num>
  <w:num w:numId="36">
    <w:abstractNumId w:val="41"/>
  </w:num>
  <w:num w:numId="37">
    <w:abstractNumId w:val="1"/>
  </w:num>
  <w:num w:numId="38">
    <w:abstractNumId w:val="26"/>
  </w:num>
  <w:num w:numId="39">
    <w:abstractNumId w:val="3"/>
  </w:num>
  <w:num w:numId="40">
    <w:abstractNumId w:val="28"/>
    <w:lvlOverride w:ilvl="0">
      <w:startOverride w:val="1"/>
    </w:lvlOverride>
    <w:lvlOverride w:ilvl="1"/>
    <w:lvlOverride w:ilvl="2"/>
    <w:lvlOverride w:ilvl="3"/>
    <w:lvlOverride w:ilvl="4"/>
    <w:lvlOverride w:ilvl="5"/>
    <w:lvlOverride w:ilvl="6"/>
    <w:lvlOverride w:ilvl="7"/>
    <w:lvlOverride w:ilvl="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3"/>
  </w:num>
  <w:num w:numId="49">
    <w:abstractNumId w:val="3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73B5"/>
    <w:rsid w:val="000246BE"/>
    <w:rsid w:val="000507F8"/>
    <w:rsid w:val="00066022"/>
    <w:rsid w:val="00071A3E"/>
    <w:rsid w:val="00082D4B"/>
    <w:rsid w:val="0008395E"/>
    <w:rsid w:val="00092D4A"/>
    <w:rsid w:val="00095528"/>
    <w:rsid w:val="000B6B06"/>
    <w:rsid w:val="000C59F7"/>
    <w:rsid w:val="000F3792"/>
    <w:rsid w:val="000F4925"/>
    <w:rsid w:val="000F4E9D"/>
    <w:rsid w:val="0010559F"/>
    <w:rsid w:val="0010774F"/>
    <w:rsid w:val="001214C4"/>
    <w:rsid w:val="001454CA"/>
    <w:rsid w:val="0014666D"/>
    <w:rsid w:val="001534E1"/>
    <w:rsid w:val="001568EE"/>
    <w:rsid w:val="00164A00"/>
    <w:rsid w:val="00171EE3"/>
    <w:rsid w:val="001736BC"/>
    <w:rsid w:val="00182B66"/>
    <w:rsid w:val="00190F09"/>
    <w:rsid w:val="00192D1B"/>
    <w:rsid w:val="001A2105"/>
    <w:rsid w:val="001B417D"/>
    <w:rsid w:val="001C7F61"/>
    <w:rsid w:val="001E18A8"/>
    <w:rsid w:val="001E511A"/>
    <w:rsid w:val="001F65CC"/>
    <w:rsid w:val="001F7026"/>
    <w:rsid w:val="0022058A"/>
    <w:rsid w:val="00222065"/>
    <w:rsid w:val="002244BE"/>
    <w:rsid w:val="00231565"/>
    <w:rsid w:val="00233260"/>
    <w:rsid w:val="00255B99"/>
    <w:rsid w:val="0025770A"/>
    <w:rsid w:val="0026653A"/>
    <w:rsid w:val="002720DB"/>
    <w:rsid w:val="0027270A"/>
    <w:rsid w:val="00276814"/>
    <w:rsid w:val="00280889"/>
    <w:rsid w:val="00283686"/>
    <w:rsid w:val="0028721E"/>
    <w:rsid w:val="002B6719"/>
    <w:rsid w:val="002C221C"/>
    <w:rsid w:val="002C3502"/>
    <w:rsid w:val="002D4243"/>
    <w:rsid w:val="002F2058"/>
    <w:rsid w:val="002F622E"/>
    <w:rsid w:val="00332141"/>
    <w:rsid w:val="00335B6A"/>
    <w:rsid w:val="00336EB9"/>
    <w:rsid w:val="00343D80"/>
    <w:rsid w:val="00354FB6"/>
    <w:rsid w:val="003821DA"/>
    <w:rsid w:val="003A1462"/>
    <w:rsid w:val="003A4E09"/>
    <w:rsid w:val="003A51D3"/>
    <w:rsid w:val="003B57D6"/>
    <w:rsid w:val="003C603C"/>
    <w:rsid w:val="003D2AF7"/>
    <w:rsid w:val="003E4149"/>
    <w:rsid w:val="003F4AA3"/>
    <w:rsid w:val="00400D60"/>
    <w:rsid w:val="0040653E"/>
    <w:rsid w:val="00436400"/>
    <w:rsid w:val="00447A2A"/>
    <w:rsid w:val="00451CEE"/>
    <w:rsid w:val="00455A30"/>
    <w:rsid w:val="004606B0"/>
    <w:rsid w:val="004746CD"/>
    <w:rsid w:val="0047678D"/>
    <w:rsid w:val="004920A3"/>
    <w:rsid w:val="004A563E"/>
    <w:rsid w:val="004A6A23"/>
    <w:rsid w:val="004E039B"/>
    <w:rsid w:val="004E1440"/>
    <w:rsid w:val="004E1B25"/>
    <w:rsid w:val="004E3901"/>
    <w:rsid w:val="004E3E6B"/>
    <w:rsid w:val="004F5424"/>
    <w:rsid w:val="005050EE"/>
    <w:rsid w:val="005178A2"/>
    <w:rsid w:val="00536A40"/>
    <w:rsid w:val="0054541F"/>
    <w:rsid w:val="0055324C"/>
    <w:rsid w:val="00571EB8"/>
    <w:rsid w:val="005836AA"/>
    <w:rsid w:val="005854D8"/>
    <w:rsid w:val="00587DE3"/>
    <w:rsid w:val="005908DD"/>
    <w:rsid w:val="005B0D17"/>
    <w:rsid w:val="005B1775"/>
    <w:rsid w:val="005E05D9"/>
    <w:rsid w:val="005E16FB"/>
    <w:rsid w:val="005F5916"/>
    <w:rsid w:val="00602CF5"/>
    <w:rsid w:val="0060492D"/>
    <w:rsid w:val="006052C1"/>
    <w:rsid w:val="00615E39"/>
    <w:rsid w:val="00623821"/>
    <w:rsid w:val="0062726A"/>
    <w:rsid w:val="00646059"/>
    <w:rsid w:val="00646DB2"/>
    <w:rsid w:val="00650251"/>
    <w:rsid w:val="006822B6"/>
    <w:rsid w:val="00685E35"/>
    <w:rsid w:val="00691580"/>
    <w:rsid w:val="00696F10"/>
    <w:rsid w:val="006A098A"/>
    <w:rsid w:val="006A5A59"/>
    <w:rsid w:val="006C38E8"/>
    <w:rsid w:val="006D0B3A"/>
    <w:rsid w:val="006D140E"/>
    <w:rsid w:val="006E6389"/>
    <w:rsid w:val="006F53EF"/>
    <w:rsid w:val="00700394"/>
    <w:rsid w:val="00701721"/>
    <w:rsid w:val="00715F27"/>
    <w:rsid w:val="00731D0B"/>
    <w:rsid w:val="007351B8"/>
    <w:rsid w:val="0074739F"/>
    <w:rsid w:val="00750727"/>
    <w:rsid w:val="00766D0E"/>
    <w:rsid w:val="007717E5"/>
    <w:rsid w:val="00783F5A"/>
    <w:rsid w:val="0079008F"/>
    <w:rsid w:val="00790D29"/>
    <w:rsid w:val="00795292"/>
    <w:rsid w:val="007C72DC"/>
    <w:rsid w:val="007C778B"/>
    <w:rsid w:val="007C7CE2"/>
    <w:rsid w:val="007D2387"/>
    <w:rsid w:val="007E0893"/>
    <w:rsid w:val="008301F8"/>
    <w:rsid w:val="00836B6D"/>
    <w:rsid w:val="00850FA6"/>
    <w:rsid w:val="00857B2D"/>
    <w:rsid w:val="0086210A"/>
    <w:rsid w:val="00882493"/>
    <w:rsid w:val="00882A68"/>
    <w:rsid w:val="00883914"/>
    <w:rsid w:val="008868CB"/>
    <w:rsid w:val="00892A7C"/>
    <w:rsid w:val="00897EF7"/>
    <w:rsid w:val="008A20A6"/>
    <w:rsid w:val="008B1877"/>
    <w:rsid w:val="008B47DA"/>
    <w:rsid w:val="008F022D"/>
    <w:rsid w:val="008F1FBA"/>
    <w:rsid w:val="008F2BD4"/>
    <w:rsid w:val="00912CF2"/>
    <w:rsid w:val="009337C9"/>
    <w:rsid w:val="0093491D"/>
    <w:rsid w:val="00937530"/>
    <w:rsid w:val="0093775D"/>
    <w:rsid w:val="00940D7D"/>
    <w:rsid w:val="00947CF9"/>
    <w:rsid w:val="0096712D"/>
    <w:rsid w:val="00967EF8"/>
    <w:rsid w:val="00973FD5"/>
    <w:rsid w:val="0097427D"/>
    <w:rsid w:val="0098066E"/>
    <w:rsid w:val="00982D9F"/>
    <w:rsid w:val="00983512"/>
    <w:rsid w:val="009915FE"/>
    <w:rsid w:val="009B0966"/>
    <w:rsid w:val="009C6C78"/>
    <w:rsid w:val="009D31CF"/>
    <w:rsid w:val="009E1AA6"/>
    <w:rsid w:val="009E3D43"/>
    <w:rsid w:val="009F7E24"/>
    <w:rsid w:val="00A0233A"/>
    <w:rsid w:val="00A0457D"/>
    <w:rsid w:val="00A11911"/>
    <w:rsid w:val="00A3183C"/>
    <w:rsid w:val="00A36DC4"/>
    <w:rsid w:val="00A52CFD"/>
    <w:rsid w:val="00A56F24"/>
    <w:rsid w:val="00A64755"/>
    <w:rsid w:val="00A93FA1"/>
    <w:rsid w:val="00A94908"/>
    <w:rsid w:val="00AB57EE"/>
    <w:rsid w:val="00AB5D86"/>
    <w:rsid w:val="00AC06FB"/>
    <w:rsid w:val="00AE043E"/>
    <w:rsid w:val="00AE28D6"/>
    <w:rsid w:val="00B07649"/>
    <w:rsid w:val="00B11C50"/>
    <w:rsid w:val="00B126C1"/>
    <w:rsid w:val="00B53E8C"/>
    <w:rsid w:val="00B72E72"/>
    <w:rsid w:val="00B741D9"/>
    <w:rsid w:val="00B80200"/>
    <w:rsid w:val="00B8178C"/>
    <w:rsid w:val="00B8351E"/>
    <w:rsid w:val="00BB0581"/>
    <w:rsid w:val="00BB0A15"/>
    <w:rsid w:val="00BB32F6"/>
    <w:rsid w:val="00BF10B6"/>
    <w:rsid w:val="00BF7D94"/>
    <w:rsid w:val="00C0541B"/>
    <w:rsid w:val="00C16488"/>
    <w:rsid w:val="00C36C92"/>
    <w:rsid w:val="00C672CE"/>
    <w:rsid w:val="00C8539E"/>
    <w:rsid w:val="00CB1256"/>
    <w:rsid w:val="00CB2506"/>
    <w:rsid w:val="00CB3243"/>
    <w:rsid w:val="00CC28CF"/>
    <w:rsid w:val="00CC3613"/>
    <w:rsid w:val="00CC49A0"/>
    <w:rsid w:val="00CC5198"/>
    <w:rsid w:val="00CD0911"/>
    <w:rsid w:val="00CD0BBB"/>
    <w:rsid w:val="00CD2C81"/>
    <w:rsid w:val="00D171B9"/>
    <w:rsid w:val="00D21461"/>
    <w:rsid w:val="00D3100C"/>
    <w:rsid w:val="00D51C0A"/>
    <w:rsid w:val="00D5524D"/>
    <w:rsid w:val="00D55D77"/>
    <w:rsid w:val="00D61215"/>
    <w:rsid w:val="00D65F22"/>
    <w:rsid w:val="00D80897"/>
    <w:rsid w:val="00D82411"/>
    <w:rsid w:val="00D9078A"/>
    <w:rsid w:val="00D9201C"/>
    <w:rsid w:val="00D9350E"/>
    <w:rsid w:val="00D94713"/>
    <w:rsid w:val="00DA0149"/>
    <w:rsid w:val="00DA144F"/>
    <w:rsid w:val="00DA6A83"/>
    <w:rsid w:val="00DC0B9E"/>
    <w:rsid w:val="00DC73A4"/>
    <w:rsid w:val="00DD01B6"/>
    <w:rsid w:val="00E1796A"/>
    <w:rsid w:val="00E2138B"/>
    <w:rsid w:val="00E2283B"/>
    <w:rsid w:val="00E27886"/>
    <w:rsid w:val="00E57EB6"/>
    <w:rsid w:val="00E72153"/>
    <w:rsid w:val="00EA38E6"/>
    <w:rsid w:val="00EB7EF1"/>
    <w:rsid w:val="00EC2720"/>
    <w:rsid w:val="00EC5DD8"/>
    <w:rsid w:val="00EC6CB3"/>
    <w:rsid w:val="00EE074B"/>
    <w:rsid w:val="00EE5E48"/>
    <w:rsid w:val="00EF3E0A"/>
    <w:rsid w:val="00EF76A9"/>
    <w:rsid w:val="00EF78EC"/>
    <w:rsid w:val="00F03C31"/>
    <w:rsid w:val="00F14373"/>
    <w:rsid w:val="00F164E1"/>
    <w:rsid w:val="00F1749F"/>
    <w:rsid w:val="00F231ED"/>
    <w:rsid w:val="00F459A1"/>
    <w:rsid w:val="00F61000"/>
    <w:rsid w:val="00F712C5"/>
    <w:rsid w:val="00F73E4D"/>
    <w:rsid w:val="00F80FF6"/>
    <w:rsid w:val="00F83B82"/>
    <w:rsid w:val="00F866B8"/>
    <w:rsid w:val="00F8681E"/>
    <w:rsid w:val="00F97BB7"/>
    <w:rsid w:val="00FA1DE5"/>
    <w:rsid w:val="00FA3B17"/>
    <w:rsid w:val="00FB1171"/>
    <w:rsid w:val="00FB54A6"/>
    <w:rsid w:val="00FB6DF7"/>
    <w:rsid w:val="00FD0B31"/>
    <w:rsid w:val="00FE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10</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44</cp:revision>
  <cp:lastPrinted>2010-01-12T23:20:00Z</cp:lastPrinted>
  <dcterms:created xsi:type="dcterms:W3CDTF">2019-09-28T03:26:00Z</dcterms:created>
  <dcterms:modified xsi:type="dcterms:W3CDTF">2019-10-18T14:04:00Z</dcterms:modified>
</cp:coreProperties>
</file>