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0E7D08E8" w:rsidR="00B80200" w:rsidRPr="00F77189" w:rsidRDefault="0014666D" w:rsidP="003F1854">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486D13AC" w:rsidR="0014666D" w:rsidRPr="00F77189" w:rsidRDefault="0014666D" w:rsidP="003F1854">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3F1854" w:rsidRPr="003F1854">
        <w:rPr>
          <w:bCs/>
          <w:smallCaps/>
        </w:rPr>
        <w:t>April 4</w:t>
      </w:r>
      <w:r w:rsidR="006B6F8A" w:rsidRPr="003F1854">
        <w:rPr>
          <w:bCs/>
          <w:smallCaps/>
        </w:rPr>
        <w:t>, 20</w:t>
      </w:r>
      <w:r w:rsidR="002C4B4E" w:rsidRPr="003F1854">
        <w:rPr>
          <w:bCs/>
          <w:smallCaps/>
        </w:rPr>
        <w:t>2</w:t>
      </w:r>
      <w:r w:rsidR="003F1854" w:rsidRPr="003F1854">
        <w:rPr>
          <w:bCs/>
          <w:smallCaps/>
        </w:rPr>
        <w:t>5</w:t>
      </w:r>
      <w:r w:rsidR="00D5524D" w:rsidRPr="00F77189">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71ED849B" w:rsidR="00973FD5" w:rsidRPr="00F77189" w:rsidRDefault="0014666D" w:rsidP="003F1854">
      <w:pPr>
        <w:contextualSpacing/>
        <w:rPr>
          <w:b/>
          <w:bCs/>
          <w:smallCaps/>
        </w:rPr>
      </w:pPr>
      <w:r w:rsidRPr="00F77189">
        <w:rPr>
          <w:b/>
          <w:bCs/>
          <w:smallCaps/>
        </w:rPr>
        <w:t xml:space="preserve">Meeting Location: </w:t>
      </w:r>
      <w:r w:rsidR="006B6F8A">
        <w:rPr>
          <w:bCs/>
          <w:smallCaps/>
        </w:rPr>
        <w:t>Parks Hall 301</w:t>
      </w:r>
    </w:p>
    <w:p w14:paraId="1834AF0A" w14:textId="77777777" w:rsidR="00B80200" w:rsidRPr="00F77189" w:rsidRDefault="00B80200" w:rsidP="003F1854">
      <w:pPr>
        <w:contextualSpacing/>
        <w:jc w:val="center"/>
        <w:rPr>
          <w:b/>
          <w:bCs/>
        </w:rPr>
      </w:pPr>
    </w:p>
    <w:p w14:paraId="57F3E057" w14:textId="6391EAD3" w:rsidR="009C6C78" w:rsidRPr="00F77189" w:rsidRDefault="00973FD5" w:rsidP="003F1854">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3F1854">
            <w:pPr>
              <w:contextualSpacing/>
            </w:pPr>
            <w:r w:rsidRPr="00F77189">
              <w:rPr>
                <w:b/>
                <w:bCs/>
                <w:smallCaps/>
              </w:rPr>
              <w:t>Members</w:t>
            </w:r>
            <w:r w:rsidR="002B6719" w:rsidRPr="00F77189">
              <w:rPr>
                <w:b/>
                <w:bCs/>
                <w:smallCaps/>
              </w:rPr>
              <w:t xml:space="preserve">                             </w:t>
            </w:r>
            <w:proofErr w:type="gramStart"/>
            <w:r w:rsidR="002B6719" w:rsidRPr="00F77189">
              <w:rPr>
                <w:b/>
                <w:bCs/>
                <w:smallCaps/>
              </w:rPr>
              <w:t xml:space="preserve">   </w:t>
            </w:r>
            <w:r w:rsidRPr="00F77189">
              <w:rPr>
                <w:b/>
              </w:rPr>
              <w:t>“</w:t>
            </w:r>
            <w:proofErr w:type="gramEnd"/>
            <w:r w:rsidRPr="00F77189">
              <w:rPr>
                <w:b/>
              </w:rPr>
              <w:t xml:space="preserve">P” denotes </w:t>
            </w:r>
            <w:proofErr w:type="gramStart"/>
            <w:r w:rsidRPr="00F77189">
              <w:rPr>
                <w:b/>
              </w:rPr>
              <w:t>Present,  “</w:t>
            </w:r>
            <w:proofErr w:type="gramEnd"/>
            <w:r w:rsidRPr="00F77189">
              <w:rPr>
                <w:b/>
              </w:rPr>
              <w:t>A” denotes Absent, “R” denotes Regrets</w:t>
            </w:r>
          </w:p>
        </w:tc>
      </w:tr>
      <w:tr w:rsidR="006B6F8A" w:rsidRPr="00F77189" w14:paraId="285C4756" w14:textId="77777777" w:rsidTr="000173B5">
        <w:tc>
          <w:tcPr>
            <w:tcW w:w="720" w:type="dxa"/>
            <w:vAlign w:val="center"/>
          </w:tcPr>
          <w:p w14:paraId="06558E01" w14:textId="2C308221" w:rsidR="006B6F8A" w:rsidRPr="00F77189" w:rsidRDefault="006B6F8A" w:rsidP="003F1854">
            <w:pPr>
              <w:contextualSpacing/>
              <w:jc w:val="center"/>
              <w:rPr>
                <w:b/>
                <w:bCs/>
                <w:smallCaps/>
              </w:rPr>
            </w:pPr>
            <w:r w:rsidRPr="00277BB9">
              <w:rPr>
                <w:b/>
                <w:bCs/>
              </w:rPr>
              <w:t>P</w:t>
            </w:r>
          </w:p>
        </w:tc>
        <w:tc>
          <w:tcPr>
            <w:tcW w:w="8640" w:type="dxa"/>
            <w:vAlign w:val="center"/>
          </w:tcPr>
          <w:p w14:paraId="44D13147" w14:textId="10773A00" w:rsidR="006B6F8A" w:rsidRPr="00F77189" w:rsidRDefault="006B6F8A" w:rsidP="003F1854">
            <w:pPr>
              <w:contextualSpacing/>
              <w:rPr>
                <w:smallCaps/>
              </w:rPr>
            </w:pPr>
            <w:r w:rsidRPr="00277BB9">
              <w:t>Alex Blazer (</w:t>
            </w:r>
            <w:proofErr w:type="spellStart"/>
            <w:r w:rsidRPr="00277BB9">
              <w:t>CoAS</w:t>
            </w:r>
            <w:proofErr w:type="spellEnd"/>
            <w:r w:rsidRPr="00277BB9">
              <w:t>, ECUS Secretary)</w:t>
            </w:r>
          </w:p>
        </w:tc>
      </w:tr>
      <w:tr w:rsidR="006B6F8A" w:rsidRPr="00F77189" w14:paraId="5A6AEEFD" w14:textId="77777777" w:rsidTr="000173B5">
        <w:tc>
          <w:tcPr>
            <w:tcW w:w="720" w:type="dxa"/>
            <w:vAlign w:val="center"/>
          </w:tcPr>
          <w:p w14:paraId="77298036" w14:textId="097219DE" w:rsidR="006B6F8A" w:rsidRPr="00F77189" w:rsidRDefault="006B6F8A" w:rsidP="003F1854">
            <w:pPr>
              <w:contextualSpacing/>
              <w:jc w:val="center"/>
              <w:rPr>
                <w:b/>
                <w:bCs/>
                <w:smallCaps/>
              </w:rPr>
            </w:pPr>
            <w:r>
              <w:rPr>
                <w:b/>
                <w:bCs/>
              </w:rPr>
              <w:t>R</w:t>
            </w:r>
          </w:p>
        </w:tc>
        <w:tc>
          <w:tcPr>
            <w:tcW w:w="8640" w:type="dxa"/>
            <w:vAlign w:val="center"/>
          </w:tcPr>
          <w:p w14:paraId="67524697" w14:textId="1D965FAB" w:rsidR="006B6F8A" w:rsidRPr="00F77189" w:rsidRDefault="006B6F8A" w:rsidP="003F1854">
            <w:pPr>
              <w:contextualSpacing/>
              <w:rPr>
                <w:smallCaps/>
              </w:rPr>
            </w:pPr>
            <w:r>
              <w:t>Cathy Cox</w:t>
            </w:r>
            <w:r w:rsidRPr="00277BB9">
              <w:t xml:space="preserve"> (University President)</w:t>
            </w:r>
          </w:p>
        </w:tc>
      </w:tr>
      <w:tr w:rsidR="006B6F8A" w:rsidRPr="00F77189" w14:paraId="31C20DF0" w14:textId="77777777" w:rsidTr="000173B5">
        <w:tc>
          <w:tcPr>
            <w:tcW w:w="720" w:type="dxa"/>
            <w:vAlign w:val="center"/>
          </w:tcPr>
          <w:p w14:paraId="535F3B79" w14:textId="49AF3094" w:rsidR="006B6F8A" w:rsidRPr="00F77189" w:rsidRDefault="006B6F8A" w:rsidP="003F1854">
            <w:pPr>
              <w:contextualSpacing/>
              <w:jc w:val="center"/>
              <w:rPr>
                <w:b/>
                <w:bCs/>
                <w:smallCaps/>
              </w:rPr>
            </w:pPr>
            <w:r>
              <w:rPr>
                <w:b/>
                <w:bCs/>
              </w:rPr>
              <w:t>P</w:t>
            </w:r>
          </w:p>
        </w:tc>
        <w:tc>
          <w:tcPr>
            <w:tcW w:w="8640" w:type="dxa"/>
            <w:vAlign w:val="center"/>
          </w:tcPr>
          <w:p w14:paraId="41429104" w14:textId="2D8AA876" w:rsidR="006B6F8A" w:rsidRPr="00F77189" w:rsidRDefault="006B6F8A" w:rsidP="003F1854">
            <w:pPr>
              <w:contextualSpacing/>
              <w:rPr>
                <w:smallCaps/>
              </w:rPr>
            </w:pPr>
            <w:r>
              <w:t>Nicolas Creel (</w:t>
            </w:r>
            <w:proofErr w:type="spellStart"/>
            <w:r>
              <w:t>CoBT</w:t>
            </w:r>
            <w:proofErr w:type="spellEnd"/>
            <w:r>
              <w:t>, ECUS Member</w:t>
            </w:r>
            <w:r w:rsidRPr="00277BB9">
              <w:t>)</w:t>
            </w:r>
          </w:p>
        </w:tc>
      </w:tr>
      <w:tr w:rsidR="006B6F8A" w:rsidRPr="00F77189" w14:paraId="033E9469" w14:textId="77777777" w:rsidTr="000173B5">
        <w:tc>
          <w:tcPr>
            <w:tcW w:w="720" w:type="dxa"/>
            <w:vAlign w:val="center"/>
          </w:tcPr>
          <w:p w14:paraId="70986997" w14:textId="733E997A" w:rsidR="006B6F8A" w:rsidRPr="00F77189" w:rsidRDefault="006B6F8A" w:rsidP="003F1854">
            <w:pPr>
              <w:contextualSpacing/>
              <w:jc w:val="center"/>
              <w:rPr>
                <w:b/>
                <w:bCs/>
                <w:smallCaps/>
              </w:rPr>
            </w:pPr>
            <w:r w:rsidRPr="00277BB9">
              <w:rPr>
                <w:b/>
                <w:bCs/>
              </w:rPr>
              <w:t>P</w:t>
            </w:r>
          </w:p>
        </w:tc>
        <w:tc>
          <w:tcPr>
            <w:tcW w:w="8640" w:type="dxa"/>
            <w:vAlign w:val="center"/>
          </w:tcPr>
          <w:p w14:paraId="2217B9C6" w14:textId="603DC823" w:rsidR="006B6F8A" w:rsidRPr="00F77189" w:rsidRDefault="00102B3D" w:rsidP="003F1854">
            <w:pPr>
              <w:contextualSpacing/>
            </w:pPr>
            <w:r>
              <w:t>Stephanie Jett</w:t>
            </w:r>
            <w:r w:rsidRPr="00F77189">
              <w:t xml:space="preserve"> (</w:t>
            </w:r>
            <w:proofErr w:type="spellStart"/>
            <w:r>
              <w:t>CoAS</w:t>
            </w:r>
            <w:proofErr w:type="spellEnd"/>
            <w:r>
              <w:t>, ECUS Vice-</w:t>
            </w:r>
            <w:r w:rsidRPr="00F77189">
              <w:t>Chair)</w:t>
            </w:r>
          </w:p>
        </w:tc>
      </w:tr>
      <w:tr w:rsidR="006B6F8A" w:rsidRPr="00F77189" w14:paraId="638C2E38" w14:textId="77777777" w:rsidTr="000173B5">
        <w:tc>
          <w:tcPr>
            <w:tcW w:w="720" w:type="dxa"/>
            <w:vAlign w:val="center"/>
          </w:tcPr>
          <w:p w14:paraId="0225F979" w14:textId="7C0FA603" w:rsidR="006B6F8A" w:rsidRPr="00F77189" w:rsidRDefault="006B6F8A" w:rsidP="003F1854">
            <w:pPr>
              <w:contextualSpacing/>
              <w:jc w:val="center"/>
              <w:rPr>
                <w:b/>
                <w:bCs/>
                <w:smallCaps/>
              </w:rPr>
            </w:pPr>
            <w:r w:rsidRPr="00277BB9">
              <w:rPr>
                <w:b/>
                <w:bCs/>
              </w:rPr>
              <w:t>P</w:t>
            </w:r>
          </w:p>
        </w:tc>
        <w:tc>
          <w:tcPr>
            <w:tcW w:w="8640" w:type="dxa"/>
            <w:vAlign w:val="center"/>
          </w:tcPr>
          <w:p w14:paraId="4774B68E" w14:textId="36F3743B" w:rsidR="006B6F8A" w:rsidRPr="00F77189" w:rsidRDefault="00C6422C" w:rsidP="003F1854">
            <w:pPr>
              <w:contextualSpacing/>
              <w:rPr>
                <w:smallCaps/>
              </w:rPr>
            </w:pPr>
            <w:r>
              <w:t>Joyce Norris-Taylor (</w:t>
            </w:r>
            <w:proofErr w:type="spellStart"/>
            <w:r>
              <w:t>CoHS</w:t>
            </w:r>
            <w:proofErr w:type="spellEnd"/>
            <w:r>
              <w:t>, ECUS Member)</w:t>
            </w:r>
          </w:p>
        </w:tc>
      </w:tr>
      <w:tr w:rsidR="00C6422C" w:rsidRPr="00F77189" w14:paraId="130665BF" w14:textId="77777777" w:rsidTr="000173B5">
        <w:tc>
          <w:tcPr>
            <w:tcW w:w="720" w:type="dxa"/>
            <w:vAlign w:val="center"/>
          </w:tcPr>
          <w:p w14:paraId="266AB259" w14:textId="777A11F2" w:rsidR="00C6422C" w:rsidRDefault="00C6422C" w:rsidP="003F1854">
            <w:pPr>
              <w:contextualSpacing/>
              <w:jc w:val="center"/>
              <w:rPr>
                <w:b/>
                <w:bCs/>
              </w:rPr>
            </w:pPr>
            <w:r>
              <w:rPr>
                <w:b/>
                <w:bCs/>
              </w:rPr>
              <w:t>P</w:t>
            </w:r>
          </w:p>
        </w:tc>
        <w:tc>
          <w:tcPr>
            <w:tcW w:w="8640" w:type="dxa"/>
            <w:vAlign w:val="center"/>
          </w:tcPr>
          <w:p w14:paraId="6648D453" w14:textId="6DE2AAA5" w:rsidR="00C6422C" w:rsidRPr="00277BB9" w:rsidRDefault="00C6422C" w:rsidP="003F1854">
            <w:pPr>
              <w:contextualSpacing/>
            </w:pPr>
            <w:r>
              <w:t>Holley Roberts (Provost)</w:t>
            </w:r>
          </w:p>
        </w:tc>
      </w:tr>
      <w:tr w:rsidR="006B6F8A" w:rsidRPr="00F77189" w14:paraId="170CD489" w14:textId="77777777" w:rsidTr="000173B5">
        <w:tc>
          <w:tcPr>
            <w:tcW w:w="720" w:type="dxa"/>
            <w:vAlign w:val="center"/>
          </w:tcPr>
          <w:p w14:paraId="7B1BBAD7" w14:textId="2444072D" w:rsidR="006B6F8A" w:rsidRPr="00F77189" w:rsidRDefault="006B6F8A" w:rsidP="003F1854">
            <w:pPr>
              <w:contextualSpacing/>
              <w:jc w:val="center"/>
              <w:rPr>
                <w:b/>
                <w:bCs/>
              </w:rPr>
            </w:pPr>
            <w:r>
              <w:rPr>
                <w:b/>
                <w:bCs/>
              </w:rPr>
              <w:t>P</w:t>
            </w:r>
          </w:p>
        </w:tc>
        <w:tc>
          <w:tcPr>
            <w:tcW w:w="8640" w:type="dxa"/>
            <w:vAlign w:val="center"/>
          </w:tcPr>
          <w:p w14:paraId="71DBC476" w14:textId="40F5AC8C" w:rsidR="006B6F8A" w:rsidRPr="00F77189" w:rsidRDefault="006B6F8A" w:rsidP="003F1854">
            <w:pPr>
              <w:contextualSpacing/>
            </w:pPr>
            <w:r w:rsidRPr="00277BB9">
              <w:t>Lamonica Sanford (Library, ECUS Member)</w:t>
            </w:r>
          </w:p>
        </w:tc>
      </w:tr>
      <w:tr w:rsidR="006B6F8A" w:rsidRPr="00F77189" w14:paraId="10228912" w14:textId="77777777" w:rsidTr="000173B5">
        <w:tc>
          <w:tcPr>
            <w:tcW w:w="720" w:type="dxa"/>
            <w:vAlign w:val="center"/>
          </w:tcPr>
          <w:p w14:paraId="2A3EB6CA" w14:textId="301D3C76" w:rsidR="006B6F8A" w:rsidRPr="00F77189" w:rsidRDefault="006B6F8A" w:rsidP="003F1854">
            <w:pPr>
              <w:contextualSpacing/>
              <w:jc w:val="center"/>
              <w:rPr>
                <w:b/>
                <w:bCs/>
                <w:smallCaps/>
              </w:rPr>
            </w:pPr>
            <w:r w:rsidRPr="00277BB9">
              <w:rPr>
                <w:b/>
                <w:bCs/>
              </w:rPr>
              <w:t>P</w:t>
            </w:r>
          </w:p>
        </w:tc>
        <w:tc>
          <w:tcPr>
            <w:tcW w:w="8640" w:type="dxa"/>
            <w:vAlign w:val="center"/>
          </w:tcPr>
          <w:p w14:paraId="68B558F4" w14:textId="7502DF00" w:rsidR="006B6F8A" w:rsidRPr="00F77189" w:rsidRDefault="00C6422C" w:rsidP="003F1854">
            <w:pPr>
              <w:contextualSpacing/>
              <w:rPr>
                <w:smallCaps/>
              </w:rPr>
            </w:pPr>
            <w:r>
              <w:t>Rob Sumowski (</w:t>
            </w:r>
            <w:proofErr w:type="spellStart"/>
            <w:r>
              <w:t>CoE</w:t>
            </w:r>
            <w:proofErr w:type="spellEnd"/>
            <w:r>
              <w:t>, ECUS Chair Emerita)</w:t>
            </w:r>
          </w:p>
        </w:tc>
      </w:tr>
      <w:tr w:rsidR="003B5750" w:rsidRPr="00F77189" w14:paraId="1213426B" w14:textId="77777777" w:rsidTr="000173B5">
        <w:tc>
          <w:tcPr>
            <w:tcW w:w="720" w:type="dxa"/>
            <w:vAlign w:val="center"/>
          </w:tcPr>
          <w:p w14:paraId="73032CA7" w14:textId="074BBE3E" w:rsidR="003B5750" w:rsidRPr="00F77189" w:rsidRDefault="003B5750" w:rsidP="003F1854">
            <w:pPr>
              <w:contextualSpacing/>
              <w:jc w:val="center"/>
              <w:rPr>
                <w:b/>
                <w:bCs/>
              </w:rPr>
            </w:pPr>
            <w:r w:rsidRPr="00F77189">
              <w:rPr>
                <w:b/>
                <w:bCs/>
              </w:rPr>
              <w:t>P</w:t>
            </w:r>
          </w:p>
        </w:tc>
        <w:tc>
          <w:tcPr>
            <w:tcW w:w="8640" w:type="dxa"/>
            <w:vAlign w:val="center"/>
          </w:tcPr>
          <w:p w14:paraId="5BD4E99E" w14:textId="7AE2BFC5" w:rsidR="003B5750" w:rsidRPr="00F77189" w:rsidRDefault="002D5D9B" w:rsidP="003F1854">
            <w:pPr>
              <w:contextualSpacing/>
            </w:pPr>
            <w:r>
              <w:t>Andrew Allen</w:t>
            </w:r>
            <w:r w:rsidR="003B5750" w:rsidRPr="00F77189">
              <w:t xml:space="preserve"> (APC Chair)</w:t>
            </w:r>
          </w:p>
        </w:tc>
      </w:tr>
      <w:tr w:rsidR="009732F9" w:rsidRPr="00F77189" w14:paraId="1409258E" w14:textId="77777777" w:rsidTr="000173B5">
        <w:tc>
          <w:tcPr>
            <w:tcW w:w="720" w:type="dxa"/>
            <w:vAlign w:val="center"/>
          </w:tcPr>
          <w:p w14:paraId="70A055F5" w14:textId="3DF26E16" w:rsidR="009732F9" w:rsidRPr="00F77189" w:rsidRDefault="009732F9" w:rsidP="003F1854">
            <w:pPr>
              <w:contextualSpacing/>
              <w:jc w:val="center"/>
              <w:rPr>
                <w:b/>
                <w:bCs/>
              </w:rPr>
            </w:pPr>
            <w:r w:rsidRPr="00F77189">
              <w:rPr>
                <w:b/>
                <w:bCs/>
              </w:rPr>
              <w:t>P</w:t>
            </w:r>
          </w:p>
        </w:tc>
        <w:tc>
          <w:tcPr>
            <w:tcW w:w="8640" w:type="dxa"/>
            <w:vAlign w:val="center"/>
          </w:tcPr>
          <w:p w14:paraId="520E9223" w14:textId="2B4D2C71" w:rsidR="009732F9" w:rsidRPr="00F77189" w:rsidRDefault="00C6422C" w:rsidP="003F1854">
            <w:pPr>
              <w:contextualSpacing/>
            </w:pPr>
            <w:r>
              <w:t>Corey Claxton</w:t>
            </w:r>
            <w:r w:rsidR="009732F9" w:rsidRPr="00F77189">
              <w:t xml:space="preserve"> (DEIPC Chair)</w:t>
            </w:r>
          </w:p>
        </w:tc>
      </w:tr>
      <w:tr w:rsidR="003B5750" w:rsidRPr="00F77189" w14:paraId="724C11C8" w14:textId="77777777" w:rsidTr="000173B5">
        <w:tc>
          <w:tcPr>
            <w:tcW w:w="720" w:type="dxa"/>
            <w:vAlign w:val="center"/>
          </w:tcPr>
          <w:p w14:paraId="4DA07CCF" w14:textId="438CFA6D" w:rsidR="003B5750" w:rsidRPr="00F77189" w:rsidRDefault="00C86302" w:rsidP="003F1854">
            <w:pPr>
              <w:contextualSpacing/>
              <w:jc w:val="center"/>
              <w:rPr>
                <w:b/>
                <w:bCs/>
              </w:rPr>
            </w:pPr>
            <w:r w:rsidRPr="00F77189">
              <w:rPr>
                <w:b/>
                <w:bCs/>
              </w:rPr>
              <w:t>P</w:t>
            </w:r>
          </w:p>
        </w:tc>
        <w:tc>
          <w:tcPr>
            <w:tcW w:w="8640" w:type="dxa"/>
            <w:vAlign w:val="center"/>
          </w:tcPr>
          <w:p w14:paraId="20E0FCB9" w14:textId="17DF1F42" w:rsidR="003B5750" w:rsidRPr="00F77189" w:rsidRDefault="00102B3D" w:rsidP="003F1854">
            <w:pPr>
              <w:contextualSpacing/>
            </w:pPr>
            <w:r w:rsidRPr="00277BB9">
              <w:t>Jennifer Flory (</w:t>
            </w:r>
            <w:r w:rsidR="00C6422C">
              <w:t>FAPC Chair</w:t>
            </w:r>
            <w:r>
              <w:t>)</w:t>
            </w:r>
          </w:p>
        </w:tc>
      </w:tr>
      <w:tr w:rsidR="003B5750" w:rsidRPr="00F77189" w14:paraId="3C720EFA" w14:textId="77777777" w:rsidTr="000173B5">
        <w:tc>
          <w:tcPr>
            <w:tcW w:w="720" w:type="dxa"/>
            <w:vAlign w:val="center"/>
          </w:tcPr>
          <w:p w14:paraId="27E9B87A" w14:textId="524FF020" w:rsidR="003B5750" w:rsidRPr="00F77189" w:rsidRDefault="005B727E" w:rsidP="003F1854">
            <w:pPr>
              <w:contextualSpacing/>
              <w:jc w:val="center"/>
              <w:rPr>
                <w:b/>
                <w:bCs/>
              </w:rPr>
            </w:pPr>
            <w:r w:rsidRPr="00F77189">
              <w:rPr>
                <w:b/>
                <w:bCs/>
              </w:rPr>
              <w:t>P</w:t>
            </w:r>
          </w:p>
        </w:tc>
        <w:tc>
          <w:tcPr>
            <w:tcW w:w="8640" w:type="dxa"/>
            <w:vAlign w:val="center"/>
          </w:tcPr>
          <w:p w14:paraId="4C56E3E8" w14:textId="6789AE27" w:rsidR="003B5750" w:rsidRPr="00F77189" w:rsidRDefault="002D5D9B" w:rsidP="003F1854">
            <w:pPr>
              <w:contextualSpacing/>
            </w:pPr>
            <w:r>
              <w:t>Brad Fowler</w:t>
            </w:r>
            <w:r w:rsidR="003B5750" w:rsidRPr="00F77189">
              <w:t xml:space="preserve"> (RPIPC Chair)</w:t>
            </w:r>
          </w:p>
        </w:tc>
      </w:tr>
      <w:tr w:rsidR="003B5750" w:rsidRPr="00F77189" w14:paraId="5A077EFA" w14:textId="77777777" w:rsidTr="000173B5">
        <w:tc>
          <w:tcPr>
            <w:tcW w:w="720" w:type="dxa"/>
            <w:vAlign w:val="center"/>
          </w:tcPr>
          <w:p w14:paraId="10F5F10F" w14:textId="2BA5EC1A" w:rsidR="003B5750" w:rsidRPr="00F77189" w:rsidRDefault="00D7369E" w:rsidP="003F1854">
            <w:pPr>
              <w:contextualSpacing/>
              <w:jc w:val="center"/>
              <w:rPr>
                <w:b/>
                <w:bCs/>
              </w:rPr>
            </w:pPr>
            <w:r w:rsidRPr="00F77189">
              <w:rPr>
                <w:b/>
                <w:bCs/>
              </w:rPr>
              <w:t>P</w:t>
            </w:r>
          </w:p>
        </w:tc>
        <w:tc>
          <w:tcPr>
            <w:tcW w:w="8640" w:type="dxa"/>
            <w:vAlign w:val="center"/>
          </w:tcPr>
          <w:p w14:paraId="462D7C54" w14:textId="7E7C8A0E" w:rsidR="003B5750" w:rsidRPr="00F77189" w:rsidRDefault="00C6422C" w:rsidP="003F1854">
            <w:pPr>
              <w:contextualSpacing/>
            </w:pPr>
            <w:r>
              <w:t>Amy Pinney</w:t>
            </w:r>
            <w:r w:rsidR="003B5750" w:rsidRPr="00F77189">
              <w:t xml:space="preserve"> (SAPC Chair)</w:t>
            </w:r>
          </w:p>
        </w:tc>
      </w:tr>
    </w:tbl>
    <w:p w14:paraId="71822103" w14:textId="28396C9F" w:rsidR="002B6719" w:rsidRPr="003F1854" w:rsidRDefault="002B6719" w:rsidP="003F1854">
      <w:pPr>
        <w:contextualSpacing/>
        <w:rPr>
          <w:iCs/>
        </w:rPr>
      </w:pPr>
    </w:p>
    <w:p w14:paraId="3E08E568" w14:textId="24433FD7" w:rsidR="002B6719" w:rsidRPr="00F77189" w:rsidRDefault="002B6719" w:rsidP="003F1854">
      <w:pPr>
        <w:contextualSpacing/>
        <w:rPr>
          <w:b/>
          <w:bCs/>
          <w:iCs/>
        </w:rPr>
      </w:pPr>
      <w:r w:rsidRPr="00F77189">
        <w:rPr>
          <w:b/>
          <w:bCs/>
          <w:iCs/>
        </w:rPr>
        <w:t>Legend</w:t>
      </w:r>
    </w:p>
    <w:p w14:paraId="405ED42E" w14:textId="451B0BE1" w:rsidR="002B6719" w:rsidRPr="00F77189" w:rsidRDefault="002B6719" w:rsidP="003F1854">
      <w:pPr>
        <w:contextualSpacing/>
      </w:pPr>
      <w:r w:rsidRPr="00F77189">
        <w:rPr>
          <w:highlight w:val="yellow"/>
        </w:rPr>
        <w:t>Highlighted text denotes follow-up.</w:t>
      </w:r>
    </w:p>
    <w:p w14:paraId="54E838AD" w14:textId="77777777" w:rsidR="004D53F4" w:rsidRPr="00F77189" w:rsidRDefault="004D53F4" w:rsidP="003F1854">
      <w:pPr>
        <w:contextualSpacing/>
        <w:rPr>
          <w:b/>
          <w:bCs/>
        </w:rPr>
      </w:pPr>
      <w:r w:rsidRPr="00F77189">
        <w:rPr>
          <w:b/>
          <w:bCs/>
        </w:rPr>
        <w:t>Bold text denotes action or recommendation.</w:t>
      </w:r>
    </w:p>
    <w:p w14:paraId="1885EC61" w14:textId="77777777" w:rsidR="002B6719" w:rsidRPr="00F77189" w:rsidRDefault="002B6719" w:rsidP="003F1854">
      <w:pPr>
        <w:contextualSpacing/>
      </w:pPr>
    </w:p>
    <w:p w14:paraId="7CFCFDE7" w14:textId="44770385" w:rsidR="008F2BD4" w:rsidRPr="00F77189" w:rsidRDefault="0026653A" w:rsidP="003F1854">
      <w:pPr>
        <w:contextualSpacing/>
      </w:pPr>
      <w:r w:rsidRPr="00F77189">
        <w:rPr>
          <w:b/>
          <w:bCs/>
        </w:rPr>
        <w:t xml:space="preserve">I. </w:t>
      </w:r>
      <w:r w:rsidR="008F2BD4" w:rsidRPr="00F77189">
        <w:rPr>
          <w:b/>
          <w:bCs/>
        </w:rPr>
        <w:t xml:space="preserve">Call to Order: </w:t>
      </w:r>
      <w:r w:rsidR="008F2BD4" w:rsidRPr="00F77189">
        <w:t xml:space="preserve">The meeting was called to order at </w:t>
      </w:r>
      <w:r w:rsidR="004E3E6B" w:rsidRPr="003F1854">
        <w:t>3</w:t>
      </w:r>
      <w:r w:rsidR="008F2BD4" w:rsidRPr="003F1854">
        <w:t>:</w:t>
      </w:r>
      <w:r w:rsidR="004E3E6B" w:rsidRPr="003F1854">
        <w:t>3</w:t>
      </w:r>
      <w:r w:rsidR="00420462" w:rsidRPr="003F1854">
        <w:t>0</w:t>
      </w:r>
      <w:r w:rsidR="008F2BD4" w:rsidRPr="00F77189">
        <w:t xml:space="preserve"> pm by</w:t>
      </w:r>
      <w:r w:rsidR="003B5666">
        <w:t xml:space="preserve"> Nicholas Creel</w:t>
      </w:r>
      <w:r w:rsidR="00420462" w:rsidRPr="00F77189">
        <w:t xml:space="preserve"> </w:t>
      </w:r>
      <w:r w:rsidR="008F2BD4" w:rsidRPr="00F77189">
        <w:t>(Chair).</w:t>
      </w:r>
    </w:p>
    <w:p w14:paraId="4BC28398" w14:textId="003F470C" w:rsidR="008F2BD4" w:rsidRPr="00F77189" w:rsidRDefault="008F2BD4" w:rsidP="003F1854">
      <w:pPr>
        <w:contextualSpacing/>
      </w:pPr>
    </w:p>
    <w:p w14:paraId="16954F42" w14:textId="135D753B" w:rsidR="008F2BD4" w:rsidRPr="00F77189" w:rsidRDefault="0026653A" w:rsidP="003F1854">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3F1854">
      <w:pPr>
        <w:contextualSpacing/>
      </w:pPr>
    </w:p>
    <w:p w14:paraId="3F36F350" w14:textId="24163660" w:rsidR="003F1854" w:rsidRPr="00277BB9" w:rsidRDefault="0026653A" w:rsidP="003F1854">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3F1854">
        <w:t xml:space="preserve">A draft of the </w:t>
      </w:r>
      <w:r w:rsidR="003F1854" w:rsidRPr="002006E2">
        <w:t>7 Mar 2025</w:t>
      </w:r>
      <w:r w:rsidR="003F1854">
        <w:t xml:space="preserve"> minutes of the Executive Committee with Standing Committee Chairs had been circulated to the meeting attendees via email. A </w:t>
      </w:r>
      <w:r w:rsidR="003F1854" w:rsidRPr="003E62FB">
        <w:rPr>
          <w:b/>
          <w:bCs/>
          <w:u w:val="single"/>
        </w:rPr>
        <w:t>Motion</w:t>
      </w:r>
      <w:r w:rsidR="003F1854" w:rsidRPr="003E62FB">
        <w:t xml:space="preserve"> </w:t>
      </w:r>
      <w:r w:rsidR="003F1854" w:rsidRPr="003E62FB">
        <w:rPr>
          <w:i/>
          <w:iCs/>
        </w:rPr>
        <w:t>to approve the minutes</w:t>
      </w:r>
      <w:r w:rsidR="003F1854">
        <w:t xml:space="preserve"> was made and seconded. </w:t>
      </w:r>
      <w:r w:rsidR="003F1854">
        <w:rPr>
          <w:b/>
          <w:bCs/>
        </w:rPr>
        <w:t>The minutes were approved</w:t>
      </w:r>
      <w:r w:rsidR="003F1854" w:rsidRPr="003E62FB">
        <w:t>.</w:t>
      </w:r>
    </w:p>
    <w:p w14:paraId="2515B700" w14:textId="3A210986" w:rsidR="005B7837" w:rsidRPr="00F77189" w:rsidRDefault="005B7837" w:rsidP="003F1854">
      <w:pPr>
        <w:contextualSpacing/>
      </w:pPr>
    </w:p>
    <w:p w14:paraId="752490C1" w14:textId="5F500AFE" w:rsidR="00731D0B" w:rsidRPr="00F77189" w:rsidRDefault="005711A0" w:rsidP="003F1854">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3F1854">
      <w:pPr>
        <w:contextualSpacing/>
        <w:rPr>
          <w:b/>
          <w:bCs/>
        </w:rPr>
      </w:pPr>
    </w:p>
    <w:p w14:paraId="020DE282" w14:textId="3A1BD8AE" w:rsidR="00B83667" w:rsidRPr="00F77189" w:rsidRDefault="00B83667" w:rsidP="003F1854">
      <w:pPr>
        <w:contextualSpacing/>
        <w:rPr>
          <w:b/>
          <w:bCs/>
        </w:rPr>
      </w:pPr>
      <w:r w:rsidRPr="00F77189">
        <w:rPr>
          <w:b/>
          <w:bCs/>
        </w:rPr>
        <w:t xml:space="preserve">University President — President </w:t>
      </w:r>
      <w:r w:rsidR="00737C76">
        <w:rPr>
          <w:b/>
          <w:bCs/>
        </w:rPr>
        <w:t>Cathy Cox</w:t>
      </w:r>
    </w:p>
    <w:p w14:paraId="69B73D9C" w14:textId="77777777" w:rsidR="00B83667" w:rsidRPr="00F77189" w:rsidRDefault="00B83667" w:rsidP="003F1854">
      <w:pPr>
        <w:contextualSpacing/>
        <w:rPr>
          <w:b/>
          <w:bCs/>
        </w:rPr>
      </w:pPr>
    </w:p>
    <w:p w14:paraId="090062B8" w14:textId="2E8AD2F5" w:rsidR="00E1191A" w:rsidRPr="00F77189" w:rsidRDefault="00C804E3" w:rsidP="003F1854">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proofErr w:type="gramStart"/>
      <w:r w:rsidR="005711A0" w:rsidRPr="00F77189">
        <w:rPr>
          <w:rFonts w:ascii="Times New Roman" w:hAnsi="Times New Roman" w:cs="Times New Roman"/>
          <w:sz w:val="24"/>
          <w:szCs w:val="24"/>
        </w:rPr>
        <w:t>As</w:t>
      </w:r>
      <w:proofErr w:type="gramEnd"/>
      <w:r w:rsidR="005711A0" w:rsidRPr="00F77189">
        <w:rPr>
          <w:rFonts w:ascii="Times New Roman" w:hAnsi="Times New Roman" w:cs="Times New Roman"/>
          <w:sz w:val="24"/>
          <w:szCs w:val="24"/>
        </w:rPr>
        <w:t xml:space="preserve"> President </w:t>
      </w:r>
      <w:r w:rsidR="00737C76">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3F1854">
      <w:pPr>
        <w:contextualSpacing/>
      </w:pPr>
    </w:p>
    <w:p w14:paraId="0471CC5B" w14:textId="188AE831" w:rsidR="0008749E" w:rsidRPr="0008749E" w:rsidRDefault="008A63EE" w:rsidP="003F1854">
      <w:pPr>
        <w:contextualSpacing/>
      </w:pPr>
      <w:r w:rsidRPr="00F77189">
        <w:rPr>
          <w:b/>
          <w:bCs/>
        </w:rPr>
        <w:t xml:space="preserve">University Provost — Provost </w:t>
      </w:r>
      <w:r w:rsidR="00042386">
        <w:rPr>
          <w:b/>
          <w:bCs/>
        </w:rPr>
        <w:t>Holley Roberts</w:t>
      </w:r>
    </w:p>
    <w:p w14:paraId="604BD87B" w14:textId="77777777" w:rsidR="0008749E" w:rsidRPr="0008749E" w:rsidRDefault="0008749E" w:rsidP="003F1854">
      <w:pPr>
        <w:contextualSpacing/>
      </w:pPr>
    </w:p>
    <w:p w14:paraId="5ACB93D9" w14:textId="77777777" w:rsidR="003F1854" w:rsidRPr="003F1854" w:rsidRDefault="003F1854" w:rsidP="003F1854">
      <w:pPr>
        <w:pStyle w:val="ListParagraph"/>
        <w:numPr>
          <w:ilvl w:val="0"/>
          <w:numId w:val="22"/>
        </w:numPr>
        <w:spacing w:after="0" w:line="240" w:lineRule="auto"/>
        <w:rPr>
          <w:rFonts w:ascii="Times New Roman" w:hAnsi="Times New Roman" w:cs="Times New Roman"/>
          <w:sz w:val="24"/>
          <w:szCs w:val="24"/>
        </w:rPr>
      </w:pPr>
      <w:r w:rsidRPr="003F1854">
        <w:rPr>
          <w:rFonts w:ascii="Times New Roman" w:hAnsi="Times New Roman" w:cs="Times New Roman"/>
          <w:b/>
          <w:bCs/>
          <w:sz w:val="24"/>
          <w:szCs w:val="24"/>
          <w:u w:val="single"/>
        </w:rPr>
        <w:t>HB127</w:t>
      </w:r>
      <w:r w:rsidRPr="003F1854">
        <w:rPr>
          <w:rFonts w:ascii="Times New Roman" w:hAnsi="Times New Roman" w:cs="Times New Roman"/>
          <w:sz w:val="24"/>
          <w:szCs w:val="24"/>
        </w:rPr>
        <w:t xml:space="preserve"> is currently on the floor for voting on the last day of the legislative session. </w:t>
      </w:r>
    </w:p>
    <w:p w14:paraId="4EF3CD77" w14:textId="77777777" w:rsidR="003F1854" w:rsidRPr="003F1854" w:rsidRDefault="003F1854" w:rsidP="003F1854">
      <w:pPr>
        <w:pStyle w:val="ListParagraph"/>
        <w:numPr>
          <w:ilvl w:val="0"/>
          <w:numId w:val="22"/>
        </w:numPr>
        <w:spacing w:after="0" w:line="240" w:lineRule="auto"/>
        <w:rPr>
          <w:rFonts w:ascii="Times New Roman" w:hAnsi="Times New Roman" w:cs="Times New Roman"/>
          <w:sz w:val="24"/>
          <w:szCs w:val="24"/>
        </w:rPr>
      </w:pPr>
      <w:r w:rsidRPr="003F1854">
        <w:rPr>
          <w:rFonts w:ascii="Times New Roman" w:hAnsi="Times New Roman" w:cs="Times New Roman"/>
          <w:b/>
          <w:bCs/>
          <w:sz w:val="24"/>
          <w:szCs w:val="24"/>
          <w:u w:val="single"/>
        </w:rPr>
        <w:t>Fall 2025 Freshman Enrollment</w:t>
      </w:r>
      <w:r w:rsidRPr="003F1854">
        <w:rPr>
          <w:rFonts w:ascii="Times New Roman" w:hAnsi="Times New Roman" w:cs="Times New Roman"/>
          <w:sz w:val="24"/>
          <w:szCs w:val="24"/>
        </w:rPr>
        <w:t xml:space="preserve"> </w:t>
      </w:r>
      <w:proofErr w:type="gramStart"/>
      <w:r w:rsidRPr="003F1854">
        <w:rPr>
          <w:rFonts w:ascii="Times New Roman" w:hAnsi="Times New Roman" w:cs="Times New Roman"/>
          <w:sz w:val="24"/>
          <w:szCs w:val="24"/>
        </w:rPr>
        <w:t>The</w:t>
      </w:r>
      <w:proofErr w:type="gramEnd"/>
      <w:r w:rsidRPr="003F1854">
        <w:rPr>
          <w:rFonts w:ascii="Times New Roman" w:hAnsi="Times New Roman" w:cs="Times New Roman"/>
          <w:sz w:val="24"/>
          <w:szCs w:val="24"/>
        </w:rPr>
        <w:t xml:space="preserve"> Office of Admissions is on track to receiving over 8,500 freshmen fall 2025 applications, this is a 4% increase from last year. Prior to fall </w:t>
      </w:r>
      <w:r w:rsidRPr="003F1854">
        <w:rPr>
          <w:rFonts w:ascii="Times New Roman" w:hAnsi="Times New Roman" w:cs="Times New Roman"/>
          <w:sz w:val="24"/>
          <w:szCs w:val="24"/>
        </w:rPr>
        <w:lastRenderedPageBreak/>
        <w:t>2023 GCSU’s highest application record was 5,700+.  We are still aiming for a class of 1750. Housing deposits are lagging slightly, but the admissions team is working very hard to encourage students to complete their housing deposit and Pounce registration.</w:t>
      </w:r>
    </w:p>
    <w:p w14:paraId="7A1E1BB4" w14:textId="77777777" w:rsidR="003F1854" w:rsidRPr="003F1854" w:rsidRDefault="003F1854" w:rsidP="003F1854">
      <w:pPr>
        <w:pStyle w:val="ListParagraph"/>
        <w:numPr>
          <w:ilvl w:val="0"/>
          <w:numId w:val="22"/>
        </w:numPr>
        <w:spacing w:after="0" w:line="240" w:lineRule="auto"/>
        <w:rPr>
          <w:rFonts w:ascii="Times New Roman" w:hAnsi="Times New Roman" w:cs="Times New Roman"/>
          <w:sz w:val="24"/>
          <w:szCs w:val="24"/>
        </w:rPr>
      </w:pPr>
      <w:proofErr w:type="spellStart"/>
      <w:r w:rsidRPr="003F1854">
        <w:rPr>
          <w:rFonts w:ascii="Times New Roman" w:hAnsi="Times New Roman" w:cs="Times New Roman"/>
          <w:b/>
          <w:bCs/>
          <w:sz w:val="24"/>
          <w:szCs w:val="24"/>
          <w:u w:val="single"/>
        </w:rPr>
        <w:t>Herty</w:t>
      </w:r>
      <w:proofErr w:type="spellEnd"/>
      <w:r w:rsidRPr="003F1854">
        <w:rPr>
          <w:rFonts w:ascii="Times New Roman" w:hAnsi="Times New Roman" w:cs="Times New Roman"/>
          <w:b/>
          <w:bCs/>
          <w:sz w:val="24"/>
          <w:szCs w:val="24"/>
          <w:u w:val="single"/>
        </w:rPr>
        <w:t xml:space="preserve"> Renovation</w:t>
      </w:r>
      <w:r w:rsidRPr="003F1854">
        <w:rPr>
          <w:rFonts w:ascii="Times New Roman" w:hAnsi="Times New Roman" w:cs="Times New Roman"/>
          <w:sz w:val="24"/>
          <w:szCs w:val="24"/>
        </w:rPr>
        <w:t xml:space="preserve"> Susan Allen and Holley Roberts will be sending a joint email soon to faculty and staff with specific information on the upcoming renovation and directions for those most impacted.</w:t>
      </w:r>
    </w:p>
    <w:p w14:paraId="7019C18C" w14:textId="77777777" w:rsidR="003F1854" w:rsidRPr="003F1854" w:rsidRDefault="003F1854" w:rsidP="003F1854">
      <w:pPr>
        <w:pStyle w:val="ListParagraph"/>
        <w:numPr>
          <w:ilvl w:val="0"/>
          <w:numId w:val="22"/>
        </w:numPr>
        <w:spacing w:after="0" w:line="240" w:lineRule="auto"/>
        <w:rPr>
          <w:rFonts w:ascii="Times New Roman" w:hAnsi="Times New Roman" w:cs="Times New Roman"/>
          <w:b/>
          <w:bCs/>
          <w:sz w:val="24"/>
          <w:szCs w:val="24"/>
          <w:u w:val="single"/>
        </w:rPr>
      </w:pPr>
      <w:r w:rsidRPr="003F1854">
        <w:rPr>
          <w:rFonts w:ascii="Times New Roman" w:hAnsi="Times New Roman" w:cs="Times New Roman"/>
          <w:b/>
          <w:bCs/>
          <w:sz w:val="24"/>
          <w:szCs w:val="24"/>
          <w:u w:val="single"/>
        </w:rPr>
        <w:t xml:space="preserve">USG Updates </w:t>
      </w:r>
    </w:p>
    <w:p w14:paraId="27230D20" w14:textId="77777777" w:rsidR="003F1854" w:rsidRPr="003F1854" w:rsidRDefault="003F1854" w:rsidP="003F1854">
      <w:pPr>
        <w:pStyle w:val="ListParagraph"/>
        <w:numPr>
          <w:ilvl w:val="1"/>
          <w:numId w:val="22"/>
        </w:numPr>
        <w:spacing w:after="0" w:line="240" w:lineRule="auto"/>
        <w:rPr>
          <w:rFonts w:ascii="Times New Roman" w:hAnsi="Times New Roman" w:cs="Times New Roman"/>
          <w:sz w:val="24"/>
          <w:szCs w:val="24"/>
        </w:rPr>
      </w:pPr>
      <w:r w:rsidRPr="003F1854">
        <w:rPr>
          <w:rFonts w:ascii="Times New Roman" w:hAnsi="Times New Roman" w:cs="Times New Roman"/>
          <w:sz w:val="24"/>
          <w:szCs w:val="24"/>
        </w:rPr>
        <w:t xml:space="preserve">AI policy/procedure/guidance recommendations will most likely be voted on by the Regents at their next meeting. Academic Affairs, the new AI Committee and Student Life will work together to make sure the university </w:t>
      </w:r>
      <w:proofErr w:type="gramStart"/>
      <w:r w:rsidRPr="003F1854">
        <w:rPr>
          <w:rFonts w:ascii="Times New Roman" w:hAnsi="Times New Roman" w:cs="Times New Roman"/>
          <w:sz w:val="24"/>
          <w:szCs w:val="24"/>
        </w:rPr>
        <w:t>is in compliance with</w:t>
      </w:r>
      <w:proofErr w:type="gramEnd"/>
      <w:r w:rsidRPr="003F1854">
        <w:rPr>
          <w:rFonts w:ascii="Times New Roman" w:hAnsi="Times New Roman" w:cs="Times New Roman"/>
          <w:sz w:val="24"/>
          <w:szCs w:val="24"/>
        </w:rPr>
        <w:t xml:space="preserve"> the final version of the policy/procedure/guidance.</w:t>
      </w:r>
    </w:p>
    <w:p w14:paraId="06BB4272" w14:textId="77777777" w:rsidR="003F1854" w:rsidRPr="003F1854" w:rsidRDefault="003F1854" w:rsidP="003F1854">
      <w:pPr>
        <w:pStyle w:val="ListParagraph"/>
        <w:numPr>
          <w:ilvl w:val="1"/>
          <w:numId w:val="22"/>
        </w:numPr>
        <w:spacing w:after="0" w:line="240" w:lineRule="auto"/>
        <w:rPr>
          <w:rFonts w:ascii="Times New Roman" w:hAnsi="Times New Roman" w:cs="Times New Roman"/>
          <w:sz w:val="24"/>
          <w:szCs w:val="24"/>
        </w:rPr>
      </w:pPr>
      <w:r w:rsidRPr="003F1854">
        <w:rPr>
          <w:rFonts w:ascii="Times New Roman" w:hAnsi="Times New Roman" w:cs="Times New Roman"/>
          <w:sz w:val="24"/>
          <w:szCs w:val="24"/>
        </w:rPr>
        <w:t>The USG is developing a Nursing transfer pathway for qualified denied nursing students so they can easily view and consider other USG nursing programs that are not at capacity.</w:t>
      </w:r>
    </w:p>
    <w:p w14:paraId="0C6AB217" w14:textId="4EF36D6B" w:rsidR="007F5CAC" w:rsidRPr="003F1854" w:rsidRDefault="003F1854" w:rsidP="003F1854">
      <w:pPr>
        <w:pStyle w:val="ListParagraph"/>
        <w:numPr>
          <w:ilvl w:val="0"/>
          <w:numId w:val="22"/>
        </w:numPr>
        <w:spacing w:after="0" w:line="240" w:lineRule="auto"/>
        <w:rPr>
          <w:rFonts w:ascii="Times New Roman" w:hAnsi="Times New Roman" w:cs="Times New Roman"/>
          <w:sz w:val="24"/>
          <w:szCs w:val="24"/>
        </w:rPr>
      </w:pPr>
      <w:r w:rsidRPr="003F1854">
        <w:rPr>
          <w:rFonts w:ascii="Times New Roman" w:hAnsi="Times New Roman" w:cs="Times New Roman"/>
          <w:b/>
          <w:bCs/>
          <w:sz w:val="24"/>
          <w:szCs w:val="24"/>
          <w:u w:val="single"/>
        </w:rPr>
        <w:t>Tenure and Promotion</w:t>
      </w:r>
      <w:r w:rsidRPr="003F1854">
        <w:rPr>
          <w:rFonts w:ascii="Times New Roman" w:hAnsi="Times New Roman" w:cs="Times New Roman"/>
          <w:sz w:val="24"/>
          <w:szCs w:val="24"/>
        </w:rPr>
        <w:t xml:space="preserve"> applicants should receive decisions within the next two weeks.</w:t>
      </w:r>
      <w:r w:rsidR="0008749E" w:rsidRPr="003F1854">
        <w:rPr>
          <w:rFonts w:ascii="Times New Roman" w:hAnsi="Times New Roman"/>
          <w:sz w:val="24"/>
          <w:szCs w:val="24"/>
        </w:rPr>
        <w:t xml:space="preserve"> </w:t>
      </w:r>
    </w:p>
    <w:p w14:paraId="1ECD4053" w14:textId="77777777" w:rsidR="00492018" w:rsidRPr="00F77189" w:rsidRDefault="00492018" w:rsidP="003F1854">
      <w:pPr>
        <w:contextualSpacing/>
        <w:rPr>
          <w:b/>
          <w:bCs/>
        </w:rPr>
      </w:pPr>
    </w:p>
    <w:p w14:paraId="3834409E" w14:textId="44BD0596" w:rsidR="005F5EAB" w:rsidRPr="00F77189" w:rsidRDefault="005F5EAB" w:rsidP="003F1854">
      <w:pPr>
        <w:contextualSpacing/>
        <w:rPr>
          <w:b/>
          <w:bCs/>
        </w:rPr>
      </w:pPr>
      <w:r w:rsidRPr="00F77189">
        <w:rPr>
          <w:b/>
          <w:bCs/>
        </w:rPr>
        <w:t xml:space="preserve">Academic Policy Committee (APC) — Chair </w:t>
      </w:r>
      <w:r w:rsidR="007D53FB">
        <w:rPr>
          <w:b/>
          <w:bCs/>
        </w:rPr>
        <w:t>Andrew Allen</w:t>
      </w:r>
    </w:p>
    <w:p w14:paraId="555B08C7" w14:textId="77777777" w:rsidR="005F5EAB" w:rsidRPr="00F77189" w:rsidRDefault="005F5EAB" w:rsidP="003F1854">
      <w:pPr>
        <w:contextualSpacing/>
        <w:rPr>
          <w:b/>
          <w:bCs/>
        </w:rPr>
      </w:pPr>
    </w:p>
    <w:p w14:paraId="33868698" w14:textId="4290AECF" w:rsidR="00EB26B5" w:rsidRPr="00A33812" w:rsidRDefault="00EB26B5" w:rsidP="003F1854">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Meeting</w:t>
      </w:r>
      <w:r>
        <w:rPr>
          <w:rFonts w:ascii="Times New Roman" w:hAnsi="Times New Roman" w:cs="Times New Roman"/>
          <w:sz w:val="24"/>
          <w:szCs w:val="24"/>
        </w:rPr>
        <w:t xml:space="preserve"> APC had a meeting scheduled for </w:t>
      </w:r>
      <w:r w:rsidR="003F1854" w:rsidRPr="003F1854">
        <w:rPr>
          <w:rFonts w:ascii="Times New Roman" w:hAnsi="Times New Roman" w:cs="Times New Roman"/>
          <w:sz w:val="24"/>
          <w:szCs w:val="24"/>
        </w:rPr>
        <w:t>4</w:t>
      </w:r>
      <w:r w:rsidRPr="003F1854">
        <w:rPr>
          <w:rFonts w:ascii="Times New Roman" w:hAnsi="Times New Roman" w:cs="Times New Roman"/>
          <w:sz w:val="24"/>
          <w:szCs w:val="24"/>
        </w:rPr>
        <w:t xml:space="preserve"> </w:t>
      </w:r>
      <w:r w:rsidR="003F1854" w:rsidRPr="003F1854">
        <w:rPr>
          <w:rFonts w:ascii="Times New Roman" w:hAnsi="Times New Roman" w:cs="Times New Roman"/>
          <w:sz w:val="24"/>
          <w:szCs w:val="24"/>
        </w:rPr>
        <w:t>Apr</w:t>
      </w:r>
      <w:r w:rsidRPr="003F1854">
        <w:rPr>
          <w:rFonts w:ascii="Times New Roman" w:hAnsi="Times New Roman" w:cs="Times New Roman"/>
          <w:sz w:val="24"/>
          <w:szCs w:val="24"/>
        </w:rPr>
        <w:t xml:space="preserve"> 202</w:t>
      </w:r>
      <w:r w:rsidR="003F1854" w:rsidRPr="003F1854">
        <w:rPr>
          <w:rFonts w:ascii="Times New Roman" w:hAnsi="Times New Roman" w:cs="Times New Roman"/>
          <w:sz w:val="24"/>
          <w:szCs w:val="24"/>
        </w:rPr>
        <w:t>5</w:t>
      </w:r>
      <w:r>
        <w:rPr>
          <w:rFonts w:ascii="Times New Roman" w:hAnsi="Times New Roman" w:cs="Times New Roman"/>
          <w:sz w:val="24"/>
          <w:szCs w:val="24"/>
        </w:rPr>
        <w:t xml:space="preserve"> from 2:00 p.m. to 3:15 p.m.</w:t>
      </w:r>
    </w:p>
    <w:p w14:paraId="2DAD90E0" w14:textId="442DAC46" w:rsidR="0008749E" w:rsidRPr="003F1854" w:rsidRDefault="00EB26B5" w:rsidP="003F1854">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 Report</w:t>
      </w:r>
      <w:r>
        <w:rPr>
          <w:rFonts w:ascii="Times New Roman" w:hAnsi="Times New Roman" w:cs="Times New Roman"/>
          <w:sz w:val="24"/>
          <w:szCs w:val="24"/>
        </w:rPr>
        <w:t xml:space="preserve"> APC had no business to conduct, so its meeting was cancelled.</w:t>
      </w:r>
      <w:r w:rsidR="0008749E" w:rsidRPr="003F1854">
        <w:rPr>
          <w:rFonts w:ascii="Times New Roman" w:hAnsi="Times New Roman"/>
          <w:sz w:val="24"/>
          <w:szCs w:val="24"/>
        </w:rPr>
        <w:t xml:space="preserve"> </w:t>
      </w:r>
    </w:p>
    <w:p w14:paraId="1D139213" w14:textId="77777777" w:rsidR="0008749E" w:rsidRPr="003D2A79" w:rsidRDefault="0008749E" w:rsidP="003F1854">
      <w:pPr>
        <w:pStyle w:val="ColorfulList-Accent11"/>
        <w:spacing w:after="0" w:line="240" w:lineRule="auto"/>
        <w:ind w:left="0"/>
        <w:rPr>
          <w:rFonts w:ascii="Times New Roman" w:hAnsi="Times New Roman"/>
          <w:b/>
          <w:bCs/>
          <w:sz w:val="24"/>
          <w:szCs w:val="24"/>
          <w:u w:val="single"/>
        </w:rPr>
      </w:pPr>
    </w:p>
    <w:p w14:paraId="4BB90968" w14:textId="156FE4F9" w:rsidR="00BB6089" w:rsidRPr="00F77189" w:rsidRDefault="00BB6089" w:rsidP="003F1854">
      <w:pPr>
        <w:contextualSpacing/>
        <w:rPr>
          <w:b/>
          <w:bCs/>
        </w:rPr>
      </w:pPr>
      <w:r w:rsidRPr="00F77189">
        <w:rPr>
          <w:b/>
          <w:bCs/>
        </w:rPr>
        <w:t>Diversity, Equity, and Inclusion Policy Committee (</w:t>
      </w:r>
      <w:proofErr w:type="gramStart"/>
      <w:r w:rsidRPr="00F77189">
        <w:rPr>
          <w:b/>
          <w:bCs/>
        </w:rPr>
        <w:t>DEIPC) —</w:t>
      </w:r>
      <w:proofErr w:type="gramEnd"/>
      <w:r w:rsidRPr="00F77189">
        <w:rPr>
          <w:b/>
          <w:bCs/>
        </w:rPr>
        <w:t xml:space="preserve"> Chair </w:t>
      </w:r>
      <w:r w:rsidR="00F63B67">
        <w:rPr>
          <w:b/>
          <w:bCs/>
        </w:rPr>
        <w:t>Corey Claxton</w:t>
      </w:r>
    </w:p>
    <w:p w14:paraId="5F1FE2AA" w14:textId="6C46C42F" w:rsidR="00BB6089" w:rsidRPr="00F77189" w:rsidRDefault="00BB6089" w:rsidP="003F1854">
      <w:pPr>
        <w:contextualSpacing/>
        <w:rPr>
          <w:b/>
          <w:bCs/>
        </w:rPr>
      </w:pPr>
    </w:p>
    <w:p w14:paraId="5B5C0D50" w14:textId="72DBD60A" w:rsidR="00103B24" w:rsidRPr="00A33812" w:rsidRDefault="00103B24" w:rsidP="003F1854">
      <w:pPr>
        <w:pStyle w:val="ListParagraph"/>
        <w:numPr>
          <w:ilvl w:val="0"/>
          <w:numId w:val="3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Meeting</w:t>
      </w:r>
      <w:r>
        <w:rPr>
          <w:rFonts w:ascii="Times New Roman" w:hAnsi="Times New Roman" w:cs="Times New Roman"/>
          <w:sz w:val="24"/>
          <w:szCs w:val="24"/>
        </w:rPr>
        <w:t xml:space="preserve"> DEIPC had a meeting scheduled for </w:t>
      </w:r>
      <w:r w:rsidR="008C5D4D" w:rsidRPr="008C5D4D">
        <w:rPr>
          <w:rFonts w:ascii="Times New Roman" w:hAnsi="Times New Roman" w:cs="Times New Roman"/>
          <w:sz w:val="24"/>
          <w:szCs w:val="24"/>
        </w:rPr>
        <w:t>4 Apr</w:t>
      </w:r>
      <w:r w:rsidRPr="008C5D4D">
        <w:rPr>
          <w:rFonts w:ascii="Times New Roman" w:hAnsi="Times New Roman" w:cs="Times New Roman"/>
          <w:sz w:val="24"/>
          <w:szCs w:val="24"/>
        </w:rPr>
        <w:t xml:space="preserve"> 202</w:t>
      </w:r>
      <w:r w:rsidR="008C5D4D" w:rsidRPr="008C5D4D">
        <w:rPr>
          <w:rFonts w:ascii="Times New Roman" w:hAnsi="Times New Roman" w:cs="Times New Roman"/>
          <w:sz w:val="24"/>
          <w:szCs w:val="24"/>
        </w:rPr>
        <w:t>5</w:t>
      </w:r>
      <w:r>
        <w:rPr>
          <w:rFonts w:ascii="Times New Roman" w:hAnsi="Times New Roman" w:cs="Times New Roman"/>
          <w:sz w:val="24"/>
          <w:szCs w:val="24"/>
        </w:rPr>
        <w:t xml:space="preserve"> from 2:00 p.m. to 3:15 p.m.</w:t>
      </w:r>
    </w:p>
    <w:p w14:paraId="4415D0E4" w14:textId="735A3C46" w:rsidR="00CA6CD4" w:rsidRPr="008C5D4D" w:rsidRDefault="00103B24" w:rsidP="008C5D4D">
      <w:pPr>
        <w:pStyle w:val="ListParagraph"/>
        <w:numPr>
          <w:ilvl w:val="1"/>
          <w:numId w:val="3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 Report</w:t>
      </w:r>
      <w:r>
        <w:rPr>
          <w:rFonts w:ascii="Times New Roman" w:hAnsi="Times New Roman" w:cs="Times New Roman"/>
          <w:sz w:val="24"/>
          <w:szCs w:val="24"/>
        </w:rPr>
        <w:t xml:space="preserve"> DEIPC had no business to conduct, so its meeting was cancelled.</w:t>
      </w:r>
      <w:r w:rsidR="0008749E" w:rsidRPr="008C5D4D">
        <w:rPr>
          <w:rFonts w:ascii="Times New Roman" w:hAnsi="Times New Roman"/>
          <w:sz w:val="24"/>
          <w:szCs w:val="24"/>
        </w:rPr>
        <w:t xml:space="preserve"> </w:t>
      </w:r>
    </w:p>
    <w:p w14:paraId="178C8672" w14:textId="77777777" w:rsidR="00355901" w:rsidRPr="00F77189" w:rsidRDefault="00355901" w:rsidP="003F1854">
      <w:pPr>
        <w:contextualSpacing/>
        <w:rPr>
          <w:b/>
          <w:u w:val="single"/>
        </w:rPr>
      </w:pPr>
    </w:p>
    <w:p w14:paraId="050E75C5" w14:textId="19930512" w:rsidR="00355901" w:rsidRPr="00F77189" w:rsidRDefault="00355901" w:rsidP="00030858">
      <w:pPr>
        <w:contextualSpacing/>
        <w:rPr>
          <w:b/>
          <w:bCs/>
        </w:rPr>
      </w:pPr>
      <w:r w:rsidRPr="00F77189">
        <w:rPr>
          <w:b/>
          <w:bCs/>
        </w:rPr>
        <w:t>Executive Committee of University Senate (</w:t>
      </w:r>
      <w:proofErr w:type="gramStart"/>
      <w:r w:rsidRPr="00F77189">
        <w:rPr>
          <w:b/>
          <w:bCs/>
        </w:rPr>
        <w:t>ECUS) —</w:t>
      </w:r>
      <w:proofErr w:type="gramEnd"/>
      <w:r w:rsidRPr="00F77189">
        <w:rPr>
          <w:b/>
          <w:bCs/>
        </w:rPr>
        <w:t xml:space="preserve"> Chair </w:t>
      </w:r>
      <w:r w:rsidR="00F63B67">
        <w:rPr>
          <w:b/>
          <w:bCs/>
        </w:rPr>
        <w:t>Nicholas Creel</w:t>
      </w:r>
    </w:p>
    <w:p w14:paraId="16C8BC71" w14:textId="77777777" w:rsidR="00355901" w:rsidRPr="00F77189" w:rsidRDefault="00355901" w:rsidP="00030858">
      <w:pPr>
        <w:pStyle w:val="ColorfulList-Accent11"/>
        <w:spacing w:after="0" w:line="240" w:lineRule="auto"/>
        <w:ind w:left="0"/>
        <w:rPr>
          <w:rFonts w:ascii="Times New Roman" w:hAnsi="Times New Roman"/>
          <w:sz w:val="24"/>
          <w:szCs w:val="24"/>
        </w:rPr>
      </w:pPr>
    </w:p>
    <w:p w14:paraId="49A3577D" w14:textId="77777777" w:rsidR="00030858" w:rsidRPr="008C2964" w:rsidRDefault="00030858" w:rsidP="00030858">
      <w:pPr>
        <w:numPr>
          <w:ilvl w:val="0"/>
          <w:numId w:val="5"/>
        </w:numPr>
        <w:contextualSpacing/>
      </w:pPr>
      <w:r w:rsidRPr="008C2964">
        <w:rPr>
          <w:b/>
          <w:bCs/>
          <w:u w:val="single"/>
        </w:rPr>
        <w:t>Modified Operations Policy</w:t>
      </w:r>
      <w:r w:rsidRPr="008C2964">
        <w:t xml:space="preserve"> work continues</w:t>
      </w:r>
      <w:r>
        <w:t xml:space="preserve">. </w:t>
      </w:r>
      <w:r w:rsidRPr="008C2964">
        <w:t xml:space="preserve">I’ve been in contact with </w:t>
      </w:r>
      <w:r>
        <w:t>S</w:t>
      </w:r>
      <w:r w:rsidRPr="008C2964">
        <w:t xml:space="preserve">taff </w:t>
      </w:r>
      <w:r>
        <w:t>C</w:t>
      </w:r>
      <w:r w:rsidRPr="008C2964">
        <w:t xml:space="preserve">ouncil and multiple committees to help draft a final policy for the end of term </w:t>
      </w:r>
      <w:r>
        <w:t>S</w:t>
      </w:r>
      <w:r w:rsidRPr="008C2964">
        <w:t>enate meeting</w:t>
      </w:r>
      <w:r>
        <w:t>.</w:t>
      </w:r>
    </w:p>
    <w:p w14:paraId="1A602B28" w14:textId="752C168A" w:rsidR="00030858" w:rsidRPr="008C2964" w:rsidRDefault="00030858" w:rsidP="00030858">
      <w:pPr>
        <w:numPr>
          <w:ilvl w:val="0"/>
          <w:numId w:val="5"/>
        </w:numPr>
        <w:contextualSpacing/>
        <w:rPr>
          <w:b/>
          <w:bCs/>
          <w:u w:val="single"/>
        </w:rPr>
      </w:pPr>
      <w:r w:rsidRPr="008C2964">
        <w:rPr>
          <w:b/>
          <w:bCs/>
          <w:u w:val="single"/>
        </w:rPr>
        <w:t>Parking Updates</w:t>
      </w:r>
      <w:r w:rsidRPr="008C2964">
        <w:rPr>
          <w:b/>
          <w:bCs/>
        </w:rPr>
        <w:t xml:space="preserve"> </w:t>
      </w:r>
      <w:r w:rsidRPr="008C2964">
        <w:t>Information has been slow to come out on this</w:t>
      </w:r>
      <w:r>
        <w:t>,</w:t>
      </w:r>
      <w:r w:rsidRPr="008C2964">
        <w:t xml:space="preserve"> but I’ve been working to help clarify points on this and encourage wide dissemination of the new policies before they roll out </w:t>
      </w:r>
    </w:p>
    <w:p w14:paraId="766461B7" w14:textId="77777777" w:rsidR="00030858" w:rsidRPr="00FC282D" w:rsidRDefault="00030858" w:rsidP="00030858">
      <w:pPr>
        <w:numPr>
          <w:ilvl w:val="0"/>
          <w:numId w:val="5"/>
        </w:numPr>
        <w:contextualSpacing/>
        <w:rPr>
          <w:b/>
          <w:bCs/>
          <w:u w:val="single"/>
        </w:rPr>
      </w:pPr>
      <w:r w:rsidRPr="008C2964">
        <w:rPr>
          <w:b/>
          <w:bCs/>
          <w:u w:val="single"/>
        </w:rPr>
        <w:t>USG and Federal Policy Update</w:t>
      </w:r>
      <w:r>
        <w:rPr>
          <w:b/>
          <w:bCs/>
          <w:u w:val="single"/>
        </w:rPr>
        <w:t>s</w:t>
      </w:r>
      <w:r w:rsidRPr="002A1F18">
        <w:rPr>
          <w:b/>
          <w:bCs/>
        </w:rPr>
        <w:t xml:space="preserve"> </w:t>
      </w:r>
      <w:r w:rsidRPr="002A1F18">
        <w:t>Nothing new has developed formally. A state level bill is being considered that could require further restriction of anything related to diversity, equity, and inclusion with the threat of total funding rescission for non-compliance</w:t>
      </w:r>
      <w:r>
        <w:t xml:space="preserve">. </w:t>
      </w:r>
      <w:r w:rsidRPr="002A1F18">
        <w:t>Should it pass</w:t>
      </w:r>
      <w:r>
        <w:t>,</w:t>
      </w:r>
      <w:r w:rsidRPr="002A1F18">
        <w:t xml:space="preserve"> we believe it might be legally challenged which would at least delay implementation</w:t>
      </w:r>
      <w:r>
        <w:t>.</w:t>
      </w:r>
    </w:p>
    <w:p w14:paraId="20138DA4" w14:textId="77777777" w:rsidR="009A5A06" w:rsidRDefault="00FC282D" w:rsidP="009A5A06">
      <w:pPr>
        <w:numPr>
          <w:ilvl w:val="0"/>
          <w:numId w:val="5"/>
        </w:numPr>
        <w:contextualSpacing/>
        <w:rPr>
          <w:b/>
          <w:bCs/>
          <w:u w:val="single"/>
        </w:rPr>
      </w:pPr>
      <w:r>
        <w:rPr>
          <w:b/>
          <w:bCs/>
          <w:u w:val="single"/>
        </w:rPr>
        <w:t>2025-2026 Governance Calendar</w:t>
      </w:r>
      <w:r>
        <w:t xml:space="preserve"> was approved at the recent ECUS meeting.</w:t>
      </w:r>
    </w:p>
    <w:p w14:paraId="1E1CF058" w14:textId="77777777" w:rsidR="009A5A06" w:rsidRPr="009A5A06" w:rsidRDefault="009A5A06" w:rsidP="009A5A06">
      <w:pPr>
        <w:numPr>
          <w:ilvl w:val="0"/>
          <w:numId w:val="5"/>
        </w:numPr>
        <w:contextualSpacing/>
        <w:rPr>
          <w:b/>
          <w:bCs/>
          <w:u w:val="single"/>
        </w:rPr>
      </w:pPr>
      <w:r w:rsidRPr="009A5A06">
        <w:rPr>
          <w:rFonts w:cstheme="minorHAnsi"/>
          <w:b/>
          <w:bCs/>
          <w:u w:val="single"/>
        </w:rPr>
        <w:t>University Senate Budget and Foundation Updates</w:t>
      </w:r>
    </w:p>
    <w:p w14:paraId="4EDBC975" w14:textId="77777777" w:rsidR="009A5A06" w:rsidRDefault="009A5A06" w:rsidP="009A5A06">
      <w:pPr>
        <w:numPr>
          <w:ilvl w:val="1"/>
          <w:numId w:val="5"/>
        </w:numPr>
        <w:contextualSpacing/>
        <w:rPr>
          <w:b/>
          <w:bCs/>
          <w:u w:val="single"/>
        </w:rPr>
      </w:pPr>
      <w:r w:rsidRPr="009A5A06">
        <w:rPr>
          <w:rFonts w:cstheme="minorHAnsi"/>
        </w:rPr>
        <w:t>State Budget Account Balance: $3,835.20</w:t>
      </w:r>
    </w:p>
    <w:p w14:paraId="4069085E" w14:textId="586A3B9E" w:rsidR="009A5A06" w:rsidRPr="009A5A06" w:rsidRDefault="009A5A06" w:rsidP="009A5A06">
      <w:pPr>
        <w:numPr>
          <w:ilvl w:val="1"/>
          <w:numId w:val="5"/>
        </w:numPr>
        <w:contextualSpacing/>
        <w:rPr>
          <w:b/>
          <w:bCs/>
          <w:u w:val="single"/>
        </w:rPr>
      </w:pPr>
      <w:r w:rsidRPr="009A5A06">
        <w:rPr>
          <w:rFonts w:cstheme="minorHAnsi"/>
        </w:rPr>
        <w:t>Foundation Account Balance: $93.75</w:t>
      </w:r>
    </w:p>
    <w:p w14:paraId="6B1EEC75" w14:textId="77777777" w:rsidR="00355901" w:rsidRDefault="00355901" w:rsidP="003F1854">
      <w:pPr>
        <w:contextualSpacing/>
        <w:rPr>
          <w:b/>
          <w:bCs/>
        </w:rPr>
      </w:pPr>
    </w:p>
    <w:p w14:paraId="2145DADD" w14:textId="6B9B7142" w:rsidR="008006DD" w:rsidRPr="00D65C50" w:rsidRDefault="008006DD" w:rsidP="00D65C50">
      <w:pPr>
        <w:contextualSpacing/>
        <w:rPr>
          <w:b/>
          <w:bCs/>
        </w:rPr>
      </w:pPr>
      <w:r w:rsidRPr="00D65C50">
        <w:rPr>
          <w:b/>
          <w:bCs/>
        </w:rPr>
        <w:t>Faculty Affairs Policy Committee (</w:t>
      </w:r>
      <w:proofErr w:type="gramStart"/>
      <w:r w:rsidRPr="00D65C50">
        <w:rPr>
          <w:b/>
          <w:bCs/>
        </w:rPr>
        <w:t>FAPC) —</w:t>
      </w:r>
      <w:proofErr w:type="gramEnd"/>
      <w:r w:rsidR="00F20CBF" w:rsidRPr="00D65C50">
        <w:rPr>
          <w:b/>
          <w:bCs/>
        </w:rPr>
        <w:t xml:space="preserve"> </w:t>
      </w:r>
      <w:r w:rsidRPr="00D65C50">
        <w:rPr>
          <w:b/>
          <w:bCs/>
        </w:rPr>
        <w:t xml:space="preserve">Chair </w:t>
      </w:r>
      <w:r w:rsidR="00F63B67" w:rsidRPr="00D65C50">
        <w:rPr>
          <w:b/>
          <w:bCs/>
        </w:rPr>
        <w:t>Jennifer Flory</w:t>
      </w:r>
    </w:p>
    <w:p w14:paraId="0FEA0F74" w14:textId="77777777" w:rsidR="008006DD" w:rsidRPr="00D65C50" w:rsidRDefault="008006DD" w:rsidP="00D65C50">
      <w:pPr>
        <w:contextualSpacing/>
        <w:rPr>
          <w:b/>
          <w:bCs/>
        </w:rPr>
      </w:pPr>
    </w:p>
    <w:p w14:paraId="586AB53A" w14:textId="77777777" w:rsidR="00D65C50" w:rsidRPr="00D65C50" w:rsidRDefault="00D65C50" w:rsidP="00D65C50">
      <w:pPr>
        <w:pStyle w:val="ListParagraph"/>
        <w:numPr>
          <w:ilvl w:val="0"/>
          <w:numId w:val="27"/>
        </w:numPr>
        <w:spacing w:after="0" w:line="240" w:lineRule="auto"/>
        <w:rPr>
          <w:rFonts w:ascii="Times New Roman" w:hAnsi="Times New Roman" w:cs="Times New Roman"/>
          <w:sz w:val="24"/>
          <w:szCs w:val="24"/>
        </w:rPr>
      </w:pPr>
      <w:r w:rsidRPr="00D65C50">
        <w:rPr>
          <w:rFonts w:ascii="Times New Roman" w:hAnsi="Times New Roman" w:cs="Times New Roman"/>
          <w:b/>
          <w:bCs/>
          <w:sz w:val="24"/>
          <w:szCs w:val="24"/>
          <w:u w:val="single"/>
        </w:rPr>
        <w:lastRenderedPageBreak/>
        <w:t>Modified Operations Policy</w:t>
      </w:r>
      <w:r w:rsidRPr="00D65C50">
        <w:rPr>
          <w:rFonts w:ascii="Times New Roman" w:hAnsi="Times New Roman" w:cs="Times New Roman"/>
          <w:sz w:val="24"/>
          <w:szCs w:val="24"/>
        </w:rPr>
        <w:t xml:space="preserve"> (Nicholas Creel and Cara Smith) Our edits made sense for Cara and Nicholas. Some procedures may come out, succinct policy per HR.</w:t>
      </w:r>
    </w:p>
    <w:p w14:paraId="10B75521" w14:textId="77777777" w:rsidR="00D65C50" w:rsidRPr="00D65C50" w:rsidRDefault="00D65C50" w:rsidP="00D65C50">
      <w:pPr>
        <w:pStyle w:val="ListParagraph"/>
        <w:numPr>
          <w:ilvl w:val="0"/>
          <w:numId w:val="27"/>
        </w:numPr>
        <w:spacing w:after="0" w:line="240" w:lineRule="auto"/>
        <w:rPr>
          <w:rFonts w:ascii="Times New Roman" w:hAnsi="Times New Roman" w:cs="Times New Roman"/>
          <w:sz w:val="24"/>
          <w:szCs w:val="24"/>
        </w:rPr>
      </w:pPr>
      <w:r w:rsidRPr="00D65C50">
        <w:rPr>
          <w:rFonts w:ascii="Times New Roman" w:hAnsi="Times New Roman" w:cs="Times New Roman"/>
          <w:b/>
          <w:bCs/>
          <w:sz w:val="24"/>
          <w:szCs w:val="24"/>
          <w:u w:val="single"/>
        </w:rPr>
        <w:t>USG Academic Affairs Desire for Norming of Tenure Scores</w:t>
      </w:r>
      <w:r w:rsidRPr="00D65C50">
        <w:rPr>
          <w:rFonts w:ascii="Times New Roman" w:hAnsi="Times New Roman" w:cs="Times New Roman"/>
          <w:b/>
          <w:bCs/>
          <w:sz w:val="24"/>
          <w:szCs w:val="24"/>
        </w:rPr>
        <w:t xml:space="preserve"> </w:t>
      </w:r>
      <w:r w:rsidRPr="00D65C50">
        <w:rPr>
          <w:rFonts w:ascii="Times New Roman" w:hAnsi="Times New Roman" w:cs="Times New Roman"/>
          <w:sz w:val="24"/>
          <w:szCs w:val="24"/>
        </w:rPr>
        <w:t>Chairs have already been instructed to have fewer 4s and 5s. Float draft ideas – track changes to faculty evaluations policy? Jen will track changes to policy and email to FAPC and Academic Affairs and Nicholas and ECUS.</w:t>
      </w:r>
    </w:p>
    <w:p w14:paraId="64498B68" w14:textId="77777777" w:rsidR="00D65C50" w:rsidRPr="00D65C50" w:rsidRDefault="00D65C50" w:rsidP="00D65C50">
      <w:pPr>
        <w:pStyle w:val="ListParagraph"/>
        <w:numPr>
          <w:ilvl w:val="0"/>
          <w:numId w:val="27"/>
        </w:numPr>
        <w:spacing w:after="0" w:line="240" w:lineRule="auto"/>
        <w:rPr>
          <w:rFonts w:ascii="Times New Roman" w:hAnsi="Times New Roman" w:cs="Times New Roman"/>
          <w:color w:val="000000" w:themeColor="text1"/>
          <w:sz w:val="24"/>
          <w:szCs w:val="24"/>
        </w:rPr>
      </w:pPr>
      <w:hyperlink r:id="rId7" w:history="1">
        <w:r w:rsidRPr="00D65C50">
          <w:rPr>
            <w:rStyle w:val="Hyperlink"/>
            <w:rFonts w:ascii="Times New Roman" w:hAnsi="Times New Roman" w:cs="Times New Roman"/>
            <w:b/>
            <w:bCs/>
            <w:sz w:val="24"/>
            <w:szCs w:val="24"/>
          </w:rPr>
          <w:t>Professional Leave Policy</w:t>
        </w:r>
      </w:hyperlink>
    </w:p>
    <w:p w14:paraId="74760C5D"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 xml:space="preserve">Reference: </w:t>
      </w:r>
      <w:hyperlink r:id="rId8" w:history="1">
        <w:r w:rsidRPr="00D65C50">
          <w:rPr>
            <w:rStyle w:val="Hyperlink"/>
            <w:rFonts w:ascii="Times New Roman" w:hAnsi="Times New Roman" w:cs="Times New Roman"/>
            <w:sz w:val="24"/>
            <w:szCs w:val="24"/>
          </w:rPr>
          <w:t>Old Application Form</w:t>
        </w:r>
      </w:hyperlink>
    </w:p>
    <w:p w14:paraId="6FC54817"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 xml:space="preserve">Reference: </w:t>
      </w:r>
      <w:hyperlink r:id="rId9" w:history="1">
        <w:r w:rsidRPr="00D65C50">
          <w:rPr>
            <w:rStyle w:val="Hyperlink"/>
            <w:rFonts w:ascii="Times New Roman" w:hAnsi="Times New Roman" w:cs="Times New Roman"/>
            <w:sz w:val="24"/>
            <w:szCs w:val="24"/>
          </w:rPr>
          <w:t>Current Application Form</w:t>
        </w:r>
      </w:hyperlink>
    </w:p>
    <w:p w14:paraId="7E6B8161"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 xml:space="preserve">Email sent to Provost Roberts on 3/28: I am emailing to let you know that FAPC intends to put together an ad hoc committee of faculty with representation from as many colleges as possible to review the professional leave policy, define terminology, and build a rubric to assess Professional Leave applications. Would it be possible for Academic Affairs to review this once we have a draft and consider using it for assessing applications at the university level? We would like to ask if there is a certain number that will be allowed or an expectation of balance across departments and/or colleges. The committee is trying to make the expectations </w:t>
      </w:r>
      <w:proofErr w:type="gramStart"/>
      <w:r w:rsidRPr="00D65C50">
        <w:rPr>
          <w:rFonts w:ascii="Times New Roman" w:hAnsi="Times New Roman" w:cs="Times New Roman"/>
          <w:sz w:val="24"/>
          <w:szCs w:val="24"/>
        </w:rPr>
        <w:t>more clear</w:t>
      </w:r>
      <w:proofErr w:type="gramEnd"/>
      <w:r w:rsidRPr="00D65C50">
        <w:rPr>
          <w:rFonts w:ascii="Times New Roman" w:hAnsi="Times New Roman" w:cs="Times New Roman"/>
          <w:sz w:val="24"/>
          <w:szCs w:val="24"/>
        </w:rPr>
        <w:t xml:space="preserve"> for faculty who might consider applying. Thank you for your consideration.</w:t>
      </w:r>
    </w:p>
    <w:p w14:paraId="7D4F5D25"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Jen will try to set up an Ad Hoc committee before fall semester. Amy has copy of A&amp;S rubric from Dean’s Advisory Council. Unclear whether each college and/or department has an allotment. Is there a cap?</w:t>
      </w:r>
    </w:p>
    <w:p w14:paraId="68B55ED5"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 xml:space="preserve">Volunteers: Jen, Amy S., Jehan, Suzanna, Library, STEM, Health Sciences, </w:t>
      </w:r>
      <w:r w:rsidRPr="00D65C50">
        <w:rPr>
          <w:rFonts w:ascii="Times New Roman" w:eastAsia="Times New Roman" w:hAnsi="Times New Roman" w:cs="Times New Roman"/>
          <w:color w:val="000000"/>
          <w:sz w:val="24"/>
          <w:szCs w:val="24"/>
          <w:shd w:val="clear" w:color="auto" w:fill="FFFFFF"/>
        </w:rPr>
        <w:t>Dr. Mandy Jarriel, Interim Associate Provost for Academic Affairs</w:t>
      </w:r>
    </w:p>
    <w:p w14:paraId="1103FE1A" w14:textId="77777777" w:rsidR="00D65C50" w:rsidRPr="00D65C50" w:rsidRDefault="00D65C50" w:rsidP="00D65C50">
      <w:pPr>
        <w:pStyle w:val="ListParagraph"/>
        <w:numPr>
          <w:ilvl w:val="0"/>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b/>
          <w:bCs/>
          <w:color w:val="000000" w:themeColor="text1"/>
          <w:sz w:val="24"/>
          <w:szCs w:val="24"/>
          <w:u w:val="single"/>
        </w:rPr>
        <w:t>Teaching Effectiveness</w:t>
      </w:r>
    </w:p>
    <w:p w14:paraId="6137F46C"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 xml:space="preserve">Reference: </w:t>
      </w:r>
      <w:hyperlink r:id="rId10" w:history="1">
        <w:r w:rsidRPr="00D65C50">
          <w:rPr>
            <w:rStyle w:val="Hyperlink"/>
            <w:rFonts w:ascii="Times New Roman" w:hAnsi="Times New Roman" w:cs="Times New Roman"/>
            <w:sz w:val="24"/>
            <w:szCs w:val="24"/>
          </w:rPr>
          <w:t>SRIS Policy</w:t>
        </w:r>
      </w:hyperlink>
    </w:p>
    <w:p w14:paraId="3AA8D04A"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sz w:val="24"/>
          <w:szCs w:val="24"/>
        </w:rPr>
        <w:t xml:space="preserve">Reference: </w:t>
      </w:r>
      <w:hyperlink r:id="rId11" w:history="1">
        <w:r w:rsidRPr="00D65C50">
          <w:rPr>
            <w:rStyle w:val="Hyperlink"/>
            <w:rFonts w:ascii="Times New Roman" w:hAnsi="Times New Roman" w:cs="Times New Roman"/>
            <w:sz w:val="24"/>
            <w:szCs w:val="24"/>
          </w:rPr>
          <w:t>Annual Evaluation Policy</w:t>
        </w:r>
      </w:hyperlink>
      <w:bookmarkStart w:id="0" w:name="_Hlk189832683"/>
    </w:p>
    <w:p w14:paraId="794B86CA" w14:textId="77777777" w:rsidR="00D65C50" w:rsidRPr="00D65C50" w:rsidRDefault="00D65C50" w:rsidP="00D65C50">
      <w:pPr>
        <w:pStyle w:val="ListParagraph"/>
        <w:numPr>
          <w:ilvl w:val="1"/>
          <w:numId w:val="27"/>
        </w:numPr>
        <w:spacing w:after="0" w:line="240" w:lineRule="auto"/>
        <w:rPr>
          <w:rFonts w:ascii="Times New Roman" w:hAnsi="Times New Roman" w:cs="Times New Roman"/>
          <w:color w:val="000000" w:themeColor="text1"/>
          <w:sz w:val="24"/>
          <w:szCs w:val="24"/>
        </w:rPr>
      </w:pPr>
      <w:r w:rsidRPr="00D65C50">
        <w:rPr>
          <w:rFonts w:ascii="Times New Roman" w:hAnsi="Times New Roman" w:cs="Times New Roman"/>
          <w:color w:val="000000" w:themeColor="text1"/>
          <w:sz w:val="24"/>
          <w:szCs w:val="24"/>
        </w:rPr>
        <w:t xml:space="preserve">An ad hoc committee was charged to create a list of alternative methods for evaluating teaching effectiveness (for faculty and evaluators) and place on CTL Faculty course in </w:t>
      </w:r>
      <w:proofErr w:type="spellStart"/>
      <w:r w:rsidRPr="00D65C50">
        <w:rPr>
          <w:rFonts w:ascii="Times New Roman" w:hAnsi="Times New Roman" w:cs="Times New Roman"/>
          <w:color w:val="000000" w:themeColor="text1"/>
          <w:sz w:val="24"/>
          <w:szCs w:val="24"/>
        </w:rPr>
        <w:t>GaView</w:t>
      </w:r>
      <w:bookmarkEnd w:id="0"/>
      <w:proofErr w:type="spellEnd"/>
      <w:r w:rsidRPr="00D65C50">
        <w:rPr>
          <w:rFonts w:ascii="Times New Roman" w:hAnsi="Times New Roman" w:cs="Times New Roman"/>
          <w:color w:val="000000" w:themeColor="text1"/>
          <w:sz w:val="24"/>
          <w:szCs w:val="24"/>
        </w:rPr>
        <w:t xml:space="preserve"> – working on list, will complete by end of semester – Suzanna and Jen will finalize.</w:t>
      </w:r>
    </w:p>
    <w:p w14:paraId="617EE067" w14:textId="77777777" w:rsidR="00D65C50" w:rsidRPr="00D65C50" w:rsidRDefault="00D65C50" w:rsidP="00D65C50">
      <w:pPr>
        <w:pStyle w:val="ListParagraph"/>
        <w:numPr>
          <w:ilvl w:val="0"/>
          <w:numId w:val="27"/>
        </w:numPr>
        <w:spacing w:after="0" w:line="240" w:lineRule="auto"/>
        <w:rPr>
          <w:rFonts w:ascii="Times New Roman" w:hAnsi="Times New Roman" w:cs="Times New Roman"/>
          <w:b/>
          <w:bCs/>
          <w:sz w:val="24"/>
          <w:szCs w:val="24"/>
        </w:rPr>
      </w:pPr>
      <w:hyperlink r:id="rId12" w:history="1">
        <w:r w:rsidRPr="00D65C50">
          <w:rPr>
            <w:rStyle w:val="Hyperlink"/>
            <w:rFonts w:ascii="Times New Roman" w:hAnsi="Times New Roman" w:cs="Times New Roman"/>
            <w:b/>
            <w:bCs/>
            <w:sz w:val="24"/>
            <w:szCs w:val="24"/>
          </w:rPr>
          <w:t>Faculty Compensation Study</w:t>
        </w:r>
      </w:hyperlink>
      <w:r w:rsidRPr="00D65C50">
        <w:rPr>
          <w:rFonts w:ascii="Times New Roman" w:hAnsi="Times New Roman" w:cs="Times New Roman"/>
          <w:sz w:val="24"/>
          <w:szCs w:val="24"/>
        </w:rPr>
        <w:t xml:space="preserve"> </w:t>
      </w:r>
      <w:r w:rsidRPr="00D65C50">
        <w:rPr>
          <w:rFonts w:ascii="Times New Roman" w:hAnsi="Times New Roman" w:cs="Times New Roman"/>
          <w:bCs/>
          <w:sz w:val="24"/>
          <w:szCs w:val="24"/>
        </w:rPr>
        <w:t>Still in process…areas below to be indexed.</w:t>
      </w:r>
    </w:p>
    <w:p w14:paraId="5B73B458" w14:textId="77777777" w:rsidR="00D65C50" w:rsidRPr="00D65C50" w:rsidRDefault="00D65C50" w:rsidP="00D65C50">
      <w:pPr>
        <w:pStyle w:val="ListParagraph"/>
        <w:numPr>
          <w:ilvl w:val="1"/>
          <w:numId w:val="27"/>
        </w:numPr>
        <w:spacing w:after="0" w:line="240" w:lineRule="auto"/>
        <w:rPr>
          <w:rFonts w:ascii="Times New Roman" w:hAnsi="Times New Roman" w:cs="Times New Roman"/>
          <w:b/>
          <w:bCs/>
          <w:sz w:val="24"/>
          <w:szCs w:val="24"/>
        </w:rPr>
      </w:pPr>
      <w:r w:rsidRPr="00D65C50">
        <w:rPr>
          <w:rFonts w:ascii="Times New Roman" w:hAnsi="Times New Roman" w:cs="Times New Roman"/>
          <w:bCs/>
          <w:sz w:val="24"/>
          <w:szCs w:val="24"/>
        </w:rPr>
        <w:t>Part-Time Faculty</w:t>
      </w:r>
    </w:p>
    <w:p w14:paraId="00DA8783" w14:textId="77777777" w:rsidR="00D65C50" w:rsidRPr="00D65C50" w:rsidRDefault="00D65C50" w:rsidP="00D65C50">
      <w:pPr>
        <w:pStyle w:val="ListParagraph"/>
        <w:numPr>
          <w:ilvl w:val="1"/>
          <w:numId w:val="27"/>
        </w:numPr>
        <w:spacing w:after="0" w:line="240" w:lineRule="auto"/>
        <w:rPr>
          <w:rFonts w:ascii="Times New Roman" w:hAnsi="Times New Roman" w:cs="Times New Roman"/>
          <w:b/>
          <w:bCs/>
          <w:sz w:val="24"/>
          <w:szCs w:val="24"/>
        </w:rPr>
      </w:pPr>
      <w:r w:rsidRPr="00D65C50">
        <w:rPr>
          <w:rFonts w:ascii="Times New Roman" w:hAnsi="Times New Roman" w:cs="Times New Roman"/>
          <w:bCs/>
          <w:sz w:val="24"/>
          <w:szCs w:val="24"/>
        </w:rPr>
        <w:t>Program Coordinators, Directors of Centers, etc. (anyone on an MOU) (including historical data for positions that have lost funding)</w:t>
      </w:r>
    </w:p>
    <w:p w14:paraId="5A8D6383" w14:textId="77777777" w:rsidR="00D65C50" w:rsidRPr="00D65C50" w:rsidRDefault="00D65C50" w:rsidP="00D65C50">
      <w:pPr>
        <w:pStyle w:val="ListParagraph"/>
        <w:numPr>
          <w:ilvl w:val="1"/>
          <w:numId w:val="27"/>
        </w:numPr>
        <w:spacing w:after="0" w:line="240" w:lineRule="auto"/>
        <w:rPr>
          <w:rFonts w:ascii="Times New Roman" w:hAnsi="Times New Roman" w:cs="Times New Roman"/>
          <w:b/>
          <w:bCs/>
          <w:sz w:val="24"/>
          <w:szCs w:val="24"/>
        </w:rPr>
      </w:pPr>
      <w:r w:rsidRPr="00D65C50">
        <w:rPr>
          <w:rFonts w:ascii="Times New Roman" w:hAnsi="Times New Roman" w:cs="Times New Roman"/>
          <w:bCs/>
          <w:sz w:val="24"/>
          <w:szCs w:val="24"/>
        </w:rPr>
        <w:t>Overload Policies (by college and department)</w:t>
      </w:r>
    </w:p>
    <w:p w14:paraId="7D2F77E5" w14:textId="77777777" w:rsidR="00D65C50" w:rsidRPr="00D65C50" w:rsidRDefault="00D65C50" w:rsidP="00D65C50">
      <w:pPr>
        <w:pStyle w:val="ListParagraph"/>
        <w:numPr>
          <w:ilvl w:val="1"/>
          <w:numId w:val="27"/>
        </w:numPr>
        <w:spacing w:after="0" w:line="240" w:lineRule="auto"/>
        <w:rPr>
          <w:rFonts w:ascii="Times New Roman" w:hAnsi="Times New Roman" w:cs="Times New Roman"/>
          <w:b/>
          <w:bCs/>
          <w:sz w:val="24"/>
          <w:szCs w:val="24"/>
        </w:rPr>
      </w:pPr>
      <w:r w:rsidRPr="00D65C50">
        <w:rPr>
          <w:rFonts w:ascii="Times New Roman" w:hAnsi="Times New Roman" w:cs="Times New Roman"/>
          <w:bCs/>
          <w:sz w:val="24"/>
          <w:szCs w:val="24"/>
        </w:rPr>
        <w:t>Summer Semester Teaching Policy (by college and department)</w:t>
      </w:r>
    </w:p>
    <w:p w14:paraId="211799A9" w14:textId="77777777" w:rsidR="00D65C50" w:rsidRPr="00D65C50" w:rsidRDefault="00D65C50" w:rsidP="00D65C50">
      <w:pPr>
        <w:pStyle w:val="ListParagraph"/>
        <w:numPr>
          <w:ilvl w:val="0"/>
          <w:numId w:val="27"/>
        </w:numPr>
        <w:spacing w:after="0" w:line="240" w:lineRule="auto"/>
        <w:rPr>
          <w:rFonts w:ascii="Times New Roman" w:hAnsi="Times New Roman" w:cs="Times New Roman"/>
          <w:b/>
          <w:bCs/>
          <w:sz w:val="24"/>
          <w:szCs w:val="24"/>
          <w:u w:val="single"/>
        </w:rPr>
      </w:pPr>
      <w:r w:rsidRPr="00D65C50">
        <w:rPr>
          <w:rFonts w:ascii="Times New Roman" w:hAnsi="Times New Roman" w:cs="Times New Roman"/>
          <w:b/>
          <w:bCs/>
          <w:sz w:val="24"/>
          <w:szCs w:val="24"/>
          <w:u w:val="single"/>
        </w:rPr>
        <w:t>Parking</w:t>
      </w:r>
      <w:r w:rsidRPr="00D65C50">
        <w:rPr>
          <w:rFonts w:ascii="Times New Roman" w:hAnsi="Times New Roman" w:cs="Times New Roman"/>
          <w:sz w:val="24"/>
          <w:szCs w:val="24"/>
        </w:rPr>
        <w:t xml:space="preserve"> Accessibility issues.</w:t>
      </w:r>
    </w:p>
    <w:p w14:paraId="216E997A" w14:textId="77777777" w:rsidR="00D65C50" w:rsidRPr="00D65C50" w:rsidRDefault="00D65C50" w:rsidP="00D65C50">
      <w:pPr>
        <w:pStyle w:val="ListParagraph"/>
        <w:numPr>
          <w:ilvl w:val="0"/>
          <w:numId w:val="27"/>
        </w:numPr>
        <w:spacing w:after="0" w:line="240" w:lineRule="auto"/>
        <w:rPr>
          <w:rFonts w:ascii="Times New Roman" w:hAnsi="Times New Roman" w:cs="Times New Roman"/>
          <w:b/>
          <w:bCs/>
          <w:sz w:val="24"/>
          <w:szCs w:val="24"/>
          <w:u w:val="single"/>
        </w:rPr>
      </w:pPr>
      <w:r w:rsidRPr="00D65C50">
        <w:rPr>
          <w:rFonts w:ascii="Times New Roman" w:hAnsi="Times New Roman" w:cs="Times New Roman"/>
          <w:b/>
          <w:bCs/>
          <w:sz w:val="24"/>
          <w:szCs w:val="24"/>
          <w:u w:val="single"/>
        </w:rPr>
        <w:t>Academic Freedom</w:t>
      </w:r>
      <w:r w:rsidRPr="00D65C50">
        <w:rPr>
          <w:rFonts w:ascii="Times New Roman" w:hAnsi="Times New Roman" w:cs="Times New Roman"/>
          <w:sz w:val="24"/>
          <w:szCs w:val="24"/>
        </w:rPr>
        <w:t xml:space="preserve"> What are we doing about “banned topics” for courses and majors? minors?</w:t>
      </w:r>
    </w:p>
    <w:p w14:paraId="2B028FD3" w14:textId="77777777" w:rsidR="00D65C50" w:rsidRPr="00D65C50" w:rsidRDefault="00D65C50" w:rsidP="00D65C50">
      <w:pPr>
        <w:pStyle w:val="ListParagraph"/>
        <w:numPr>
          <w:ilvl w:val="0"/>
          <w:numId w:val="27"/>
        </w:numPr>
        <w:spacing w:after="0" w:line="240" w:lineRule="auto"/>
        <w:rPr>
          <w:rFonts w:ascii="Times New Roman" w:hAnsi="Times New Roman" w:cs="Times New Roman"/>
          <w:b/>
          <w:bCs/>
          <w:sz w:val="24"/>
          <w:szCs w:val="24"/>
          <w:u w:val="single"/>
        </w:rPr>
      </w:pPr>
      <w:r w:rsidRPr="00D65C50">
        <w:rPr>
          <w:rFonts w:ascii="Times New Roman" w:hAnsi="Times New Roman" w:cs="Times New Roman"/>
          <w:b/>
          <w:bCs/>
          <w:sz w:val="24"/>
          <w:szCs w:val="24"/>
          <w:u w:val="single"/>
        </w:rPr>
        <w:t>Recommendations for 2025-2026 FAPC</w:t>
      </w:r>
      <w:r w:rsidRPr="00D65C50">
        <w:rPr>
          <w:rFonts w:ascii="Times New Roman" w:hAnsi="Times New Roman" w:cs="Times New Roman"/>
          <w:sz w:val="24"/>
          <w:szCs w:val="24"/>
        </w:rPr>
        <w:t xml:space="preserve"> include revisions to faculty evaluation policy, recognition and reward of PTR, and keys to locked classrooms.</w:t>
      </w:r>
    </w:p>
    <w:p w14:paraId="55D7AE82" w14:textId="52919D07" w:rsidR="0008749E" w:rsidRPr="00277BB9" w:rsidRDefault="0008749E" w:rsidP="003F1854">
      <w:pPr>
        <w:pStyle w:val="ColorfulList-Accent11"/>
        <w:numPr>
          <w:ilvl w:val="0"/>
          <w:numId w:val="27"/>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D65C50">
        <w:rPr>
          <w:rFonts w:ascii="Times New Roman" w:hAnsi="Times New Roman"/>
          <w:b/>
          <w:bCs/>
          <w:sz w:val="24"/>
          <w:szCs w:val="24"/>
          <w:u w:val="single"/>
        </w:rPr>
        <w:t>-</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4E4EA5D0" w14:textId="7B172D5E" w:rsidR="0008749E" w:rsidRPr="00277BB9" w:rsidRDefault="00D65C50" w:rsidP="003F1854">
      <w:pPr>
        <w:pStyle w:val="ColorfulList-Accent11"/>
        <w:numPr>
          <w:ilvl w:val="1"/>
          <w:numId w:val="27"/>
        </w:numPr>
        <w:spacing w:after="0" w:line="240" w:lineRule="auto"/>
        <w:rPr>
          <w:rFonts w:ascii="Times New Roman" w:hAnsi="Times New Roman"/>
          <w:sz w:val="24"/>
          <w:szCs w:val="24"/>
        </w:rPr>
      </w:pPr>
      <w:r>
        <w:rPr>
          <w:rFonts w:ascii="Times New Roman" w:hAnsi="Times New Roman"/>
          <w:b/>
          <w:bCs/>
          <w:sz w:val="24"/>
          <w:szCs w:val="24"/>
          <w:u w:val="single"/>
        </w:rPr>
        <w:t>Academic Freedom</w:t>
      </w:r>
    </w:p>
    <w:p w14:paraId="2D0BF531" w14:textId="684E083A" w:rsidR="0008749E" w:rsidRPr="00D65C50" w:rsidRDefault="0008749E" w:rsidP="00D65C50">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Question: </w:t>
      </w:r>
      <w:r w:rsidR="00D65C50">
        <w:rPr>
          <w:rFonts w:ascii="Times New Roman" w:hAnsi="Times New Roman"/>
          <w:sz w:val="24"/>
          <w:szCs w:val="24"/>
        </w:rPr>
        <w:t>Has the Women’s Center been eliminated?</w:t>
      </w:r>
    </w:p>
    <w:p w14:paraId="726B3429" w14:textId="780E55B3" w:rsidR="001107E2" w:rsidRPr="00D65C50" w:rsidRDefault="0008749E" w:rsidP="003F1854">
      <w:pPr>
        <w:pStyle w:val="ColorfulList-Accent11"/>
        <w:numPr>
          <w:ilvl w:val="2"/>
          <w:numId w:val="27"/>
        </w:numPr>
        <w:spacing w:after="0" w:line="240" w:lineRule="auto"/>
        <w:rPr>
          <w:rFonts w:ascii="Times New Roman" w:hAnsi="Times New Roman"/>
          <w:b/>
          <w:bCs/>
          <w:sz w:val="24"/>
          <w:szCs w:val="24"/>
          <w:u w:val="single"/>
        </w:rPr>
      </w:pPr>
      <w:r w:rsidRPr="00277BB9">
        <w:rPr>
          <w:rFonts w:ascii="Times New Roman" w:hAnsi="Times New Roman"/>
          <w:sz w:val="24"/>
          <w:szCs w:val="24"/>
        </w:rPr>
        <w:lastRenderedPageBreak/>
        <w:t>Comment</w:t>
      </w:r>
      <w:r w:rsidR="00D65C50">
        <w:rPr>
          <w:rFonts w:ascii="Times New Roman" w:hAnsi="Times New Roman"/>
          <w:sz w:val="24"/>
          <w:szCs w:val="24"/>
        </w:rPr>
        <w:t xml:space="preserve">: My understanding is that it was restructured into </w:t>
      </w:r>
      <w:proofErr w:type="gramStart"/>
      <w:r w:rsidR="00D65C50">
        <w:rPr>
          <w:rFonts w:ascii="Times New Roman" w:hAnsi="Times New Roman"/>
          <w:sz w:val="24"/>
          <w:szCs w:val="24"/>
        </w:rPr>
        <w:t>the Hub</w:t>
      </w:r>
      <w:proofErr w:type="gramEnd"/>
      <w:r w:rsidR="00D65C50">
        <w:rPr>
          <w:rFonts w:ascii="Times New Roman" w:hAnsi="Times New Roman"/>
          <w:sz w:val="24"/>
          <w:szCs w:val="24"/>
        </w:rPr>
        <w:t xml:space="preserve"> last summer.</w:t>
      </w:r>
    </w:p>
    <w:p w14:paraId="3B6A497F" w14:textId="7440151C" w:rsidR="00D65C50" w:rsidRPr="00D65C50" w:rsidRDefault="00D65C50" w:rsidP="00D65C50">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w:t>
      </w:r>
      <w:r w:rsidR="00777915">
        <w:rPr>
          <w:rFonts w:ascii="Times New Roman" w:hAnsi="Times New Roman"/>
          <w:sz w:val="24"/>
          <w:szCs w:val="24"/>
        </w:rPr>
        <w:t>The c</w:t>
      </w:r>
      <w:r>
        <w:rPr>
          <w:rFonts w:ascii="Times New Roman" w:hAnsi="Times New Roman"/>
          <w:sz w:val="24"/>
          <w:szCs w:val="24"/>
        </w:rPr>
        <w:t>urriculum has not been affected.</w:t>
      </w:r>
    </w:p>
    <w:p w14:paraId="55503ECE" w14:textId="466D0901" w:rsidR="00D65C50" w:rsidRPr="00D65C50" w:rsidRDefault="00D65C50" w:rsidP="00D65C50">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Comment (Provost): Women’s and Gender Studies Symposium involves curricular topics that students ha</w:t>
      </w:r>
      <w:r w:rsidR="00D750D5">
        <w:rPr>
          <w:rFonts w:ascii="Times New Roman" w:hAnsi="Times New Roman"/>
          <w:sz w:val="24"/>
          <w:szCs w:val="24"/>
        </w:rPr>
        <w:t>ve</w:t>
      </w:r>
      <w:r>
        <w:rPr>
          <w:rFonts w:ascii="Times New Roman" w:hAnsi="Times New Roman"/>
          <w:sz w:val="24"/>
          <w:szCs w:val="24"/>
        </w:rPr>
        <w:t xml:space="preserve"> chosen.</w:t>
      </w:r>
    </w:p>
    <w:p w14:paraId="565D3E7E" w14:textId="77777777" w:rsidR="00B93CE8" w:rsidRPr="00F77189" w:rsidRDefault="00B93CE8" w:rsidP="003F1854">
      <w:pPr>
        <w:contextualSpacing/>
      </w:pPr>
    </w:p>
    <w:p w14:paraId="3DFD40E0" w14:textId="64E6785A" w:rsidR="001239B2" w:rsidRPr="00F77189" w:rsidRDefault="001239B2" w:rsidP="003F1854">
      <w:pPr>
        <w:contextualSpacing/>
        <w:rPr>
          <w:b/>
          <w:bCs/>
        </w:rPr>
      </w:pPr>
      <w:r w:rsidRPr="00F77189">
        <w:rPr>
          <w:b/>
          <w:bCs/>
        </w:rPr>
        <w:t>Resources, Planning and Institutional Policy Committee (</w:t>
      </w:r>
      <w:proofErr w:type="gramStart"/>
      <w:r w:rsidRPr="00F77189">
        <w:rPr>
          <w:b/>
          <w:bCs/>
        </w:rPr>
        <w:t>RPIPC) —</w:t>
      </w:r>
      <w:proofErr w:type="gramEnd"/>
      <w:r w:rsidR="00492018" w:rsidRPr="00F77189">
        <w:rPr>
          <w:b/>
          <w:bCs/>
        </w:rPr>
        <w:t xml:space="preserve"> </w:t>
      </w:r>
      <w:r w:rsidRPr="00F77189">
        <w:rPr>
          <w:b/>
          <w:bCs/>
        </w:rPr>
        <w:t xml:space="preserve">Chair </w:t>
      </w:r>
      <w:r w:rsidR="00BF2FD5">
        <w:rPr>
          <w:b/>
          <w:bCs/>
        </w:rPr>
        <w:t>Brad Fowle</w:t>
      </w:r>
      <w:r w:rsidR="00F63B67">
        <w:rPr>
          <w:b/>
          <w:bCs/>
        </w:rPr>
        <w:t>r</w:t>
      </w:r>
    </w:p>
    <w:p w14:paraId="37AEA79E" w14:textId="77777777" w:rsidR="001239B2" w:rsidRPr="00F77189" w:rsidRDefault="001239B2" w:rsidP="003F1854">
      <w:pPr>
        <w:contextualSpacing/>
        <w:rPr>
          <w:b/>
          <w:bCs/>
        </w:rPr>
      </w:pPr>
    </w:p>
    <w:p w14:paraId="594B7345" w14:textId="4BBC974F" w:rsidR="00375153" w:rsidRPr="00DA6C15" w:rsidRDefault="00375153" w:rsidP="00375153">
      <w:pPr>
        <w:pStyle w:val="ListParagraph"/>
        <w:numPr>
          <w:ilvl w:val="0"/>
          <w:numId w:val="8"/>
        </w:numPr>
        <w:spacing w:after="160" w:line="259" w:lineRule="auto"/>
        <w:rPr>
          <w:rFonts w:ascii="Times New Roman" w:hAnsi="Times New Roman" w:cs="Times New Roman"/>
          <w:b/>
          <w:bCs/>
          <w:sz w:val="24"/>
        </w:rPr>
      </w:pPr>
      <w:r w:rsidRPr="00DA6C15">
        <w:rPr>
          <w:rFonts w:ascii="Times New Roman" w:hAnsi="Times New Roman" w:cs="Times New Roman"/>
          <w:b/>
          <w:bCs/>
          <w:sz w:val="24"/>
          <w:u w:val="single"/>
        </w:rPr>
        <w:t>Modified Operations Policy</w:t>
      </w:r>
      <w:r>
        <w:rPr>
          <w:rFonts w:ascii="Times New Roman" w:hAnsi="Times New Roman" w:cs="Times New Roman"/>
          <w:b/>
          <w:bCs/>
          <w:sz w:val="24"/>
        </w:rPr>
        <w:t xml:space="preserve"> </w:t>
      </w:r>
      <w:r w:rsidRPr="00DA6C15">
        <w:rPr>
          <w:rFonts w:ascii="Times New Roman" w:hAnsi="Times New Roman" w:cs="Times New Roman"/>
          <w:sz w:val="24"/>
        </w:rPr>
        <w:t xml:space="preserve">The committee was asked by ECUS to review the new modified operations policy and provide feedback.  We focused mainly on the parts of the policy that pertained to staff.  We felt that the word “availability” in the Attendance Reporting bullet point in the section 3.1 may be too vague.  The policy may need to be adjusted to define the various states of </w:t>
      </w:r>
      <w:proofErr w:type="gramStart"/>
      <w:r w:rsidRPr="00DA6C15">
        <w:rPr>
          <w:rFonts w:ascii="Times New Roman" w:hAnsi="Times New Roman" w:cs="Times New Roman"/>
          <w:sz w:val="24"/>
        </w:rPr>
        <w:t>available</w:t>
      </w:r>
      <w:proofErr w:type="gramEnd"/>
      <w:r w:rsidRPr="00DA6C15">
        <w:rPr>
          <w:rFonts w:ascii="Times New Roman" w:hAnsi="Times New Roman" w:cs="Times New Roman"/>
          <w:sz w:val="24"/>
        </w:rPr>
        <w:t xml:space="preserve"> and unavailable.  Section 3.2 </w:t>
      </w:r>
      <w:proofErr w:type="gramStart"/>
      <w:r w:rsidRPr="00DA6C15">
        <w:rPr>
          <w:rFonts w:ascii="Times New Roman" w:hAnsi="Times New Roman" w:cs="Times New Roman"/>
          <w:sz w:val="24"/>
        </w:rPr>
        <w:t>covers</w:t>
      </w:r>
      <w:proofErr w:type="gramEnd"/>
      <w:r w:rsidRPr="00DA6C15">
        <w:rPr>
          <w:rFonts w:ascii="Times New Roman" w:hAnsi="Times New Roman" w:cs="Times New Roman"/>
          <w:sz w:val="24"/>
        </w:rPr>
        <w:t xml:space="preserve"> who are considered essential employees.  We f</w:t>
      </w:r>
      <w:r w:rsidR="00D873A7">
        <w:rPr>
          <w:rFonts w:ascii="Times New Roman" w:hAnsi="Times New Roman" w:cs="Times New Roman"/>
          <w:sz w:val="24"/>
        </w:rPr>
        <w:t>e</w:t>
      </w:r>
      <w:r w:rsidRPr="00DA6C15">
        <w:rPr>
          <w:rFonts w:ascii="Times New Roman" w:hAnsi="Times New Roman" w:cs="Times New Roman"/>
          <w:sz w:val="24"/>
        </w:rPr>
        <w:t>lt that some employees may be essential or non-essential based on the nature of the event.  There may need to be language on the policy that suggests that department heads will identify which employees are essential at the beginning of the modified operations.</w:t>
      </w:r>
    </w:p>
    <w:p w14:paraId="3E9214D4" w14:textId="77777777" w:rsidR="00375153" w:rsidRPr="00DA6C15" w:rsidRDefault="00375153" w:rsidP="00375153">
      <w:pPr>
        <w:pStyle w:val="ListParagraph"/>
        <w:numPr>
          <w:ilvl w:val="0"/>
          <w:numId w:val="8"/>
        </w:numPr>
        <w:spacing w:after="160" w:line="259" w:lineRule="auto"/>
        <w:rPr>
          <w:rFonts w:ascii="Times New Roman" w:hAnsi="Times New Roman" w:cs="Times New Roman"/>
          <w:b/>
          <w:bCs/>
          <w:sz w:val="24"/>
        </w:rPr>
      </w:pPr>
      <w:r w:rsidRPr="00DA6C15">
        <w:rPr>
          <w:rFonts w:ascii="Times New Roman" w:hAnsi="Times New Roman" w:cs="Times New Roman"/>
          <w:b/>
          <w:bCs/>
          <w:sz w:val="24"/>
          <w:u w:val="single"/>
        </w:rPr>
        <w:t>Internal Candidate Hiring Policy</w:t>
      </w:r>
      <w:r>
        <w:rPr>
          <w:rFonts w:ascii="Times New Roman" w:hAnsi="Times New Roman" w:cs="Times New Roman"/>
          <w:b/>
          <w:bCs/>
          <w:sz w:val="24"/>
        </w:rPr>
        <w:t xml:space="preserve"> </w:t>
      </w:r>
      <w:r w:rsidRPr="00DA6C15">
        <w:rPr>
          <w:rFonts w:ascii="Times New Roman" w:hAnsi="Times New Roman" w:cs="Times New Roman"/>
          <w:sz w:val="24"/>
        </w:rPr>
        <w:t>The chair of the committee discussed with the interim provost a potential policy for hiring processes when there is a strong internal candidate being considered.  After further discussion with the committee, with input from a Human Resources perspective, we believe that there is not a path forward for such a policy and have decided to move on.</w:t>
      </w:r>
    </w:p>
    <w:p w14:paraId="0B5A607B" w14:textId="48DD7BBC" w:rsidR="0008749E" w:rsidRPr="00D873A7" w:rsidRDefault="00375153" w:rsidP="00D873A7">
      <w:pPr>
        <w:pStyle w:val="ListParagraph"/>
        <w:numPr>
          <w:ilvl w:val="0"/>
          <w:numId w:val="8"/>
        </w:numPr>
        <w:spacing w:after="0" w:line="240" w:lineRule="auto"/>
        <w:rPr>
          <w:rFonts w:ascii="Times New Roman" w:hAnsi="Times New Roman" w:cs="Times New Roman"/>
          <w:b/>
          <w:bCs/>
          <w:sz w:val="24"/>
          <w:szCs w:val="24"/>
          <w:u w:val="single"/>
        </w:rPr>
      </w:pPr>
      <w:r w:rsidRPr="00DA6C15">
        <w:rPr>
          <w:rFonts w:ascii="Times New Roman" w:hAnsi="Times New Roman" w:cs="Times New Roman"/>
          <w:b/>
          <w:bCs/>
          <w:sz w:val="24"/>
          <w:u w:val="single"/>
        </w:rPr>
        <w:t>New Parking Permits</w:t>
      </w:r>
      <w:r>
        <w:rPr>
          <w:rFonts w:ascii="Times New Roman" w:hAnsi="Times New Roman" w:cs="Times New Roman"/>
          <w:b/>
          <w:bCs/>
          <w:sz w:val="24"/>
        </w:rPr>
        <w:t xml:space="preserve"> </w:t>
      </w:r>
      <w:r w:rsidRPr="00DA6C15">
        <w:rPr>
          <w:rFonts w:ascii="Times New Roman" w:hAnsi="Times New Roman" w:cs="Times New Roman"/>
          <w:sz w:val="24"/>
        </w:rPr>
        <w:t xml:space="preserve">We discussed the new parking permit structure with committee member Charles Cruey.  There have been many questions about the new parking permit policy that is about to go into effect.  Charles was able to help the members of the committee to better understand what the changes were likely to be once the final decision </w:t>
      </w:r>
      <w:proofErr w:type="gramStart"/>
      <w:r w:rsidRPr="00DA6C15">
        <w:rPr>
          <w:rFonts w:ascii="Times New Roman" w:hAnsi="Times New Roman" w:cs="Times New Roman"/>
          <w:sz w:val="24"/>
        </w:rPr>
        <w:t>have been</w:t>
      </w:r>
      <w:proofErr w:type="gramEnd"/>
      <w:r w:rsidRPr="00DA6C15">
        <w:rPr>
          <w:rFonts w:ascii="Times New Roman" w:hAnsi="Times New Roman" w:cs="Times New Roman"/>
          <w:sz w:val="24"/>
        </w:rPr>
        <w:t xml:space="preserve"> made.</w:t>
      </w:r>
      <w:r w:rsidR="0008749E" w:rsidRPr="00D873A7">
        <w:rPr>
          <w:rFonts w:ascii="Times New Roman" w:hAnsi="Times New Roman"/>
          <w:sz w:val="24"/>
          <w:szCs w:val="24"/>
        </w:rPr>
        <w:t xml:space="preserve"> </w:t>
      </w:r>
    </w:p>
    <w:p w14:paraId="48F9DC32" w14:textId="77777777" w:rsidR="0008749E" w:rsidRDefault="0008749E" w:rsidP="003F1854">
      <w:pPr>
        <w:contextualSpacing/>
        <w:rPr>
          <w:b/>
          <w:bCs/>
        </w:rPr>
      </w:pPr>
    </w:p>
    <w:p w14:paraId="2C471633" w14:textId="2CE97364" w:rsidR="0098066E" w:rsidRPr="00F77189" w:rsidRDefault="00937530" w:rsidP="003F1854">
      <w:pPr>
        <w:contextualSpacing/>
        <w:rPr>
          <w:b/>
          <w:bCs/>
        </w:rPr>
      </w:pPr>
      <w:r w:rsidRPr="00F77189">
        <w:rPr>
          <w:b/>
          <w:bCs/>
        </w:rPr>
        <w:t>Student Affairs Policy Committee</w:t>
      </w:r>
      <w:r w:rsidR="005836AA" w:rsidRPr="00F77189">
        <w:rPr>
          <w:b/>
          <w:bCs/>
        </w:rPr>
        <w:t xml:space="preserve"> (</w:t>
      </w:r>
      <w:proofErr w:type="gramStart"/>
      <w:r w:rsidR="005836AA" w:rsidRPr="00F77189">
        <w:rPr>
          <w:b/>
          <w:bCs/>
        </w:rPr>
        <w:t>SAPC)</w:t>
      </w:r>
      <w:r w:rsidRPr="00F77189">
        <w:rPr>
          <w:b/>
          <w:bCs/>
        </w:rPr>
        <w:t xml:space="preserve"> </w:t>
      </w:r>
      <w:r w:rsidR="00E2138B" w:rsidRPr="00F77189">
        <w:rPr>
          <w:b/>
          <w:bCs/>
        </w:rPr>
        <w:t>—</w:t>
      </w:r>
      <w:proofErr w:type="gramEnd"/>
      <w:r w:rsidR="007A7FAB" w:rsidRPr="00F77189">
        <w:rPr>
          <w:b/>
          <w:bCs/>
        </w:rPr>
        <w:t xml:space="preserve"> </w:t>
      </w:r>
      <w:r w:rsidR="00EC6CB3" w:rsidRPr="00F77189">
        <w:rPr>
          <w:b/>
          <w:bCs/>
        </w:rPr>
        <w:t xml:space="preserve">Chair </w:t>
      </w:r>
      <w:r w:rsidR="00F63B67">
        <w:rPr>
          <w:b/>
          <w:bCs/>
        </w:rPr>
        <w:t>Amy Pinney</w:t>
      </w:r>
    </w:p>
    <w:p w14:paraId="73024F7C" w14:textId="1E8D3E11" w:rsidR="001239B2" w:rsidRPr="00F77189" w:rsidRDefault="001239B2" w:rsidP="003F1854">
      <w:pPr>
        <w:contextualSpacing/>
        <w:rPr>
          <w:b/>
          <w:bCs/>
        </w:rPr>
      </w:pPr>
    </w:p>
    <w:p w14:paraId="48D0F2A9" w14:textId="589EF282" w:rsidR="00FC4624" w:rsidRPr="00B8248D" w:rsidRDefault="00B8248D" w:rsidP="00B8248D">
      <w:pPr>
        <w:pStyle w:val="ListParagraph"/>
        <w:numPr>
          <w:ilvl w:val="0"/>
          <w:numId w:val="15"/>
        </w:numPr>
        <w:spacing w:after="0" w:line="240" w:lineRule="auto"/>
        <w:rPr>
          <w:rFonts w:ascii="Times New Roman" w:hAnsi="Times New Roman" w:cs="Times New Roman"/>
          <w:sz w:val="24"/>
          <w:szCs w:val="24"/>
        </w:rPr>
      </w:pPr>
      <w:r w:rsidRPr="00B8248D">
        <w:rPr>
          <w:rFonts w:ascii="Times New Roman" w:hAnsi="Times New Roman" w:cs="Times New Roman"/>
          <w:b/>
          <w:bCs/>
          <w:sz w:val="24"/>
          <w:szCs w:val="24"/>
          <w:u w:val="single"/>
        </w:rPr>
        <w:t>Bobcat Code of Conduct</w:t>
      </w:r>
      <w:r w:rsidRPr="00B8248D">
        <w:rPr>
          <w:rFonts w:ascii="Times New Roman" w:hAnsi="Times New Roman" w:cs="Times New Roman"/>
          <w:sz w:val="24"/>
          <w:szCs w:val="24"/>
        </w:rPr>
        <w:t xml:space="preserve"> Our discussion, led by Axel Hawkins and Ezra Ryall, took about an hour. SAPC members unanimously decided to support all the SGA recommendations except proposed changes to rules 200 and 205. SAPC requested additional information and further discussion on those.</w:t>
      </w:r>
      <w:r w:rsidR="0008749E" w:rsidRPr="00B8248D">
        <w:rPr>
          <w:rFonts w:ascii="Times New Roman" w:hAnsi="Times New Roman"/>
          <w:sz w:val="24"/>
          <w:szCs w:val="24"/>
        </w:rPr>
        <w:t xml:space="preserve"> </w:t>
      </w:r>
    </w:p>
    <w:p w14:paraId="3C26807B" w14:textId="77777777" w:rsidR="00977994" w:rsidRDefault="00977994" w:rsidP="00977994">
      <w:pPr>
        <w:contextualSpacing/>
        <w:rPr>
          <w:b/>
          <w:bCs/>
        </w:rPr>
      </w:pPr>
      <w:bookmarkStart w:id="1" w:name="_Hlk56763132"/>
    </w:p>
    <w:p w14:paraId="63A4B170" w14:textId="7885B2BA" w:rsidR="00977994" w:rsidRPr="00F77189" w:rsidRDefault="00977994" w:rsidP="00977994">
      <w:pPr>
        <w:contextualSpacing/>
        <w:rPr>
          <w:b/>
          <w:bCs/>
        </w:rPr>
      </w:pPr>
      <w:r w:rsidRPr="00F77189">
        <w:rPr>
          <w:b/>
          <w:bCs/>
        </w:rPr>
        <w:t>Subcommittee on Nominations (</w:t>
      </w:r>
      <w:proofErr w:type="spellStart"/>
      <w:proofErr w:type="gramStart"/>
      <w:r w:rsidRPr="00F77189">
        <w:rPr>
          <w:b/>
          <w:bCs/>
        </w:rPr>
        <w:t>SCoN</w:t>
      </w:r>
      <w:proofErr w:type="spellEnd"/>
      <w:r w:rsidRPr="00F77189">
        <w:rPr>
          <w:b/>
          <w:bCs/>
        </w:rPr>
        <w:t>) —</w:t>
      </w:r>
      <w:proofErr w:type="gramEnd"/>
      <w:r w:rsidRPr="00F77189">
        <w:rPr>
          <w:b/>
          <w:bCs/>
        </w:rPr>
        <w:t xml:space="preserve"> Chai</w:t>
      </w:r>
      <w:r>
        <w:rPr>
          <w:b/>
          <w:bCs/>
        </w:rPr>
        <w:t>r Stephanie Jett</w:t>
      </w:r>
    </w:p>
    <w:p w14:paraId="4038063B" w14:textId="77777777" w:rsidR="00977994" w:rsidRPr="00F77189" w:rsidRDefault="00977994" w:rsidP="00977994">
      <w:pPr>
        <w:contextualSpacing/>
      </w:pPr>
    </w:p>
    <w:p w14:paraId="22F0BAC3" w14:textId="77777777" w:rsidR="00CA3588" w:rsidRDefault="00CA3588" w:rsidP="00CA3588">
      <w:pPr>
        <w:numPr>
          <w:ilvl w:val="0"/>
          <w:numId w:val="2"/>
        </w:numPr>
        <w:contextualSpacing/>
      </w:pPr>
      <w:r w:rsidRPr="00431D27">
        <w:rPr>
          <w:b/>
          <w:bCs/>
          <w:u w:val="single"/>
        </w:rPr>
        <w:t>2025-2026 Slate of Nominees</w:t>
      </w:r>
      <w:r>
        <w:t xml:space="preserve"> </w:t>
      </w:r>
      <w:r w:rsidRPr="00431D27">
        <w:t>Standing committee and university-wide committee assignments were discussed.</w:t>
      </w:r>
    </w:p>
    <w:p w14:paraId="08399DF0" w14:textId="77777777" w:rsidR="00CA3588" w:rsidRDefault="00CA3588" w:rsidP="00CA3588">
      <w:pPr>
        <w:numPr>
          <w:ilvl w:val="1"/>
          <w:numId w:val="2"/>
        </w:numPr>
        <w:contextualSpacing/>
      </w:pPr>
      <w:r w:rsidRPr="00431D27">
        <w:t>Brad Fowler was moved from FAPC back to RPIPC by request.</w:t>
      </w:r>
    </w:p>
    <w:p w14:paraId="256CC486" w14:textId="77777777" w:rsidR="00CA3588" w:rsidRDefault="00CA3588" w:rsidP="00CA3588">
      <w:pPr>
        <w:numPr>
          <w:ilvl w:val="1"/>
          <w:numId w:val="2"/>
        </w:numPr>
        <w:contextualSpacing/>
      </w:pPr>
      <w:r w:rsidRPr="00431D27">
        <w:t>Lamonica Sanford was moved from FAPC to SAPC by compliance necessity.</w:t>
      </w:r>
    </w:p>
    <w:p w14:paraId="428B30C0" w14:textId="77777777" w:rsidR="00CA3588" w:rsidRDefault="00CA3588" w:rsidP="00CA3588">
      <w:pPr>
        <w:numPr>
          <w:ilvl w:val="1"/>
          <w:numId w:val="2"/>
        </w:numPr>
        <w:contextualSpacing/>
      </w:pPr>
      <w:r w:rsidRPr="00431D27">
        <w:t>The AI Policy Review Committee was established with representatives from all colleges and units, including the Graduate School</w:t>
      </w:r>
      <w:r>
        <w:t xml:space="preserve">. </w:t>
      </w:r>
      <w:r w:rsidRPr="00431D27">
        <w:t>Invitations from ECUS will be extended to Jim Berger (CTL)</w:t>
      </w:r>
      <w:r>
        <w:t xml:space="preserve"> and </w:t>
      </w:r>
      <w:r w:rsidRPr="00431D27">
        <w:t>Ward Risvold (</w:t>
      </w:r>
      <w:proofErr w:type="spellStart"/>
      <w:r w:rsidRPr="00431D27">
        <w:t>CoBT</w:t>
      </w:r>
      <w:proofErr w:type="spellEnd"/>
      <w:r w:rsidRPr="00431D27">
        <w:t>)</w:t>
      </w:r>
      <w:r>
        <w:t>;</w:t>
      </w:r>
      <w:r w:rsidRPr="00431D27">
        <w:t xml:space="preserve"> and we are awaiting the Presidential Appointee on April 7.</w:t>
      </w:r>
    </w:p>
    <w:p w14:paraId="70DA0B8A" w14:textId="77777777" w:rsidR="00CA3588" w:rsidRPr="008E3F93" w:rsidRDefault="00CA3588" w:rsidP="00CA3588">
      <w:pPr>
        <w:numPr>
          <w:ilvl w:val="1"/>
          <w:numId w:val="2"/>
        </w:numPr>
        <w:contextualSpacing/>
      </w:pPr>
      <w:r w:rsidRPr="008E3F93">
        <w:lastRenderedPageBreak/>
        <w:t xml:space="preserve">I will create a motion for the current slate to be voted on for our last US meeting on </w:t>
      </w:r>
      <w:r>
        <w:t>April 28.</w:t>
      </w:r>
    </w:p>
    <w:p w14:paraId="71FE4EAC" w14:textId="77777777" w:rsidR="00977994" w:rsidRPr="00277BB9" w:rsidRDefault="00977994" w:rsidP="00977994">
      <w:pPr>
        <w:pStyle w:val="ColorfulList-Accent11"/>
        <w:numPr>
          <w:ilvl w:val="0"/>
          <w:numId w:val="2"/>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7D324FE7" w14:textId="4783B4A4" w:rsidR="00615076" w:rsidRDefault="00615076" w:rsidP="00615076">
      <w:pPr>
        <w:numPr>
          <w:ilvl w:val="1"/>
          <w:numId w:val="2"/>
        </w:numPr>
        <w:contextualSpacing/>
      </w:pPr>
      <w:r>
        <w:t>The committee discussed potential POE nominees Andrew Allen and Joyce Norris-Taylor in terms of continuity and ends of terms of service. Andrew Allen declined a potential nomination for the good Senate leadership continuity.</w:t>
      </w:r>
    </w:p>
    <w:p w14:paraId="20B67BAC" w14:textId="7EECF689" w:rsidR="00615076" w:rsidRDefault="00615076" w:rsidP="00615076">
      <w:pPr>
        <w:numPr>
          <w:ilvl w:val="0"/>
          <w:numId w:val="2"/>
        </w:numPr>
        <w:contextualSpacing/>
      </w:pPr>
      <w:r w:rsidRPr="00615076">
        <w:rPr>
          <w:b/>
          <w:bCs/>
          <w:u w:val="single"/>
        </w:rPr>
        <w:t>ECUS-SCC Action</w:t>
      </w:r>
      <w:r>
        <w:rPr>
          <w:b/>
          <w:bCs/>
          <w:u w:val="single"/>
        </w:rPr>
        <w:t>s</w:t>
      </w:r>
    </w:p>
    <w:p w14:paraId="32A8D922" w14:textId="6FF58988" w:rsidR="00615076" w:rsidRPr="00615076" w:rsidRDefault="00615076" w:rsidP="00615076">
      <w:pPr>
        <w:pStyle w:val="ColorfulList-Accent11"/>
        <w:numPr>
          <w:ilvl w:val="1"/>
          <w:numId w:val="2"/>
        </w:numPr>
        <w:spacing w:after="0" w:line="240" w:lineRule="auto"/>
        <w:rPr>
          <w:rFonts w:ascii="Times New Roman" w:hAnsi="Times New Roman"/>
          <w:b/>
          <w:bCs/>
          <w:sz w:val="24"/>
          <w:szCs w:val="24"/>
          <w:u w:val="single"/>
        </w:rPr>
      </w:pPr>
      <w:r w:rsidRPr="00DA2CDC">
        <w:rPr>
          <w:rFonts w:ascii="Times New Roman" w:hAnsi="Times New Roman"/>
          <w:sz w:val="24"/>
          <w:szCs w:val="24"/>
        </w:rPr>
        <w:t xml:space="preserve">A </w:t>
      </w:r>
      <w:r w:rsidRPr="00DA2CDC">
        <w:rPr>
          <w:rFonts w:ascii="Times New Roman" w:hAnsi="Times New Roman"/>
          <w:b/>
          <w:sz w:val="24"/>
          <w:szCs w:val="24"/>
          <w:u w:val="single"/>
        </w:rPr>
        <w:t>Motion</w:t>
      </w:r>
      <w:r w:rsidRPr="00DA2CDC">
        <w:rPr>
          <w:rFonts w:ascii="Times New Roman" w:hAnsi="Times New Roman"/>
          <w:sz w:val="24"/>
          <w:szCs w:val="24"/>
        </w:rPr>
        <w:t xml:space="preserve"> </w:t>
      </w:r>
      <w:r w:rsidRPr="00DA2CDC">
        <w:rPr>
          <w:rFonts w:ascii="Times New Roman" w:hAnsi="Times New Roman"/>
          <w:i/>
          <w:sz w:val="24"/>
          <w:szCs w:val="24"/>
        </w:rPr>
        <w:t xml:space="preserve">to </w:t>
      </w:r>
      <w:r>
        <w:rPr>
          <w:rFonts w:ascii="Times New Roman" w:hAnsi="Times New Roman"/>
          <w:i/>
          <w:sz w:val="24"/>
          <w:szCs w:val="24"/>
        </w:rPr>
        <w:t xml:space="preserve">nominate </w:t>
      </w:r>
      <w:r w:rsidR="00FC282D">
        <w:rPr>
          <w:rFonts w:ascii="Times New Roman" w:hAnsi="Times New Roman"/>
          <w:i/>
          <w:sz w:val="24"/>
          <w:szCs w:val="24"/>
        </w:rPr>
        <w:t xml:space="preserve">approve the 2025-2026 Slate of </w:t>
      </w:r>
      <w:r w:rsidR="00FC282D" w:rsidRPr="00FC282D">
        <w:rPr>
          <w:rFonts w:ascii="Times New Roman" w:hAnsi="Times New Roman"/>
          <w:i/>
          <w:sz w:val="24"/>
          <w:szCs w:val="24"/>
        </w:rPr>
        <w:t>Nominees</w:t>
      </w:r>
      <w:r w:rsidR="00FC282D">
        <w:rPr>
          <w:rFonts w:ascii="Times New Roman" w:hAnsi="Times New Roman"/>
          <w:i/>
          <w:sz w:val="24"/>
          <w:szCs w:val="24"/>
        </w:rPr>
        <w:t xml:space="preserve"> with Joyce Norris-Taylor as Presiding Officer Elect and Alex Blazer as Secretary</w:t>
      </w:r>
      <w:r w:rsidR="00FC282D">
        <w:rPr>
          <w:rFonts w:ascii="Times New Roman" w:hAnsi="Times New Roman"/>
          <w:iCs/>
          <w:sz w:val="24"/>
          <w:szCs w:val="24"/>
        </w:rPr>
        <w:t xml:space="preserve"> </w:t>
      </w:r>
      <w:r w:rsidRPr="00DA2CDC">
        <w:rPr>
          <w:rFonts w:ascii="Times New Roman" w:hAnsi="Times New Roman"/>
          <w:sz w:val="24"/>
          <w:szCs w:val="24"/>
        </w:rPr>
        <w:t xml:space="preserve">was made and seconded. </w:t>
      </w:r>
      <w:r w:rsidRPr="00DA2CDC">
        <w:rPr>
          <w:rFonts w:ascii="Times New Roman" w:hAnsi="Times New Roman"/>
          <w:b/>
          <w:bCs/>
          <w:sz w:val="24"/>
          <w:szCs w:val="24"/>
        </w:rPr>
        <w:t xml:space="preserve">The </w:t>
      </w:r>
      <w:r>
        <w:rPr>
          <w:rFonts w:ascii="Times New Roman" w:hAnsi="Times New Roman"/>
          <w:b/>
          <w:bCs/>
          <w:sz w:val="24"/>
          <w:szCs w:val="24"/>
        </w:rPr>
        <w:t>motion</w:t>
      </w:r>
      <w:r w:rsidRPr="00DA2CDC">
        <w:rPr>
          <w:rFonts w:ascii="Times New Roman" w:hAnsi="Times New Roman"/>
          <w:b/>
          <w:bCs/>
          <w:sz w:val="24"/>
          <w:szCs w:val="24"/>
        </w:rPr>
        <w:t xml:space="preserve"> was approved.</w:t>
      </w:r>
    </w:p>
    <w:p w14:paraId="0D11E247" w14:textId="6327B2DC" w:rsidR="00977994" w:rsidRPr="00615076" w:rsidRDefault="00615076" w:rsidP="00615076">
      <w:pPr>
        <w:pStyle w:val="ColorfulList-Accent11"/>
        <w:numPr>
          <w:ilvl w:val="1"/>
          <w:numId w:val="2"/>
        </w:numPr>
        <w:spacing w:after="0" w:line="240" w:lineRule="auto"/>
        <w:rPr>
          <w:rFonts w:ascii="Times New Roman" w:hAnsi="Times New Roman"/>
          <w:b/>
          <w:bCs/>
          <w:sz w:val="24"/>
          <w:szCs w:val="24"/>
          <w:u w:val="single"/>
        </w:rPr>
      </w:pPr>
      <w:r w:rsidRPr="00DA2CDC">
        <w:rPr>
          <w:rFonts w:ascii="Times New Roman" w:hAnsi="Times New Roman"/>
          <w:sz w:val="24"/>
          <w:szCs w:val="24"/>
        </w:rPr>
        <w:t xml:space="preserve">A </w:t>
      </w:r>
      <w:r w:rsidRPr="00DA2CDC">
        <w:rPr>
          <w:rFonts w:ascii="Times New Roman" w:hAnsi="Times New Roman"/>
          <w:b/>
          <w:sz w:val="24"/>
          <w:szCs w:val="24"/>
          <w:u w:val="single"/>
        </w:rPr>
        <w:t>Motion</w:t>
      </w:r>
      <w:r w:rsidRPr="00DA2CDC">
        <w:rPr>
          <w:rFonts w:ascii="Times New Roman" w:hAnsi="Times New Roman"/>
          <w:sz w:val="24"/>
          <w:szCs w:val="24"/>
        </w:rPr>
        <w:t xml:space="preserve"> </w:t>
      </w:r>
      <w:r w:rsidRPr="00DA2CDC">
        <w:rPr>
          <w:rFonts w:ascii="Times New Roman" w:hAnsi="Times New Roman"/>
          <w:i/>
          <w:sz w:val="24"/>
          <w:szCs w:val="24"/>
        </w:rPr>
        <w:t xml:space="preserve">to </w:t>
      </w:r>
      <w:r>
        <w:rPr>
          <w:rFonts w:ascii="Times New Roman" w:hAnsi="Times New Roman"/>
          <w:i/>
          <w:sz w:val="24"/>
          <w:szCs w:val="24"/>
        </w:rPr>
        <w:t xml:space="preserve">extend </w:t>
      </w:r>
      <w:r w:rsidRPr="00DA2CDC">
        <w:rPr>
          <w:rFonts w:ascii="Times New Roman" w:hAnsi="Times New Roman"/>
          <w:i/>
          <w:sz w:val="24"/>
          <w:szCs w:val="24"/>
        </w:rPr>
        <w:t xml:space="preserve">the </w:t>
      </w:r>
      <w:r>
        <w:rPr>
          <w:rFonts w:ascii="Times New Roman" w:hAnsi="Times New Roman"/>
          <w:i/>
          <w:sz w:val="24"/>
          <w:szCs w:val="24"/>
        </w:rPr>
        <w:t>meeting by 10 minutes</w:t>
      </w:r>
      <w:r w:rsidRPr="00DA2CDC">
        <w:rPr>
          <w:rFonts w:ascii="Times New Roman" w:hAnsi="Times New Roman"/>
          <w:sz w:val="24"/>
          <w:szCs w:val="24"/>
        </w:rPr>
        <w:t xml:space="preserve"> was made and seconded. </w:t>
      </w:r>
      <w:r w:rsidRPr="00DA2CDC">
        <w:rPr>
          <w:rFonts w:ascii="Times New Roman" w:hAnsi="Times New Roman"/>
          <w:b/>
          <w:bCs/>
          <w:sz w:val="24"/>
          <w:szCs w:val="24"/>
        </w:rPr>
        <w:t xml:space="preserve">The </w:t>
      </w:r>
      <w:r>
        <w:rPr>
          <w:rFonts w:ascii="Times New Roman" w:hAnsi="Times New Roman"/>
          <w:b/>
          <w:bCs/>
          <w:sz w:val="24"/>
          <w:szCs w:val="24"/>
        </w:rPr>
        <w:t>motion</w:t>
      </w:r>
      <w:r w:rsidRPr="00DA2CDC">
        <w:rPr>
          <w:rFonts w:ascii="Times New Roman" w:hAnsi="Times New Roman"/>
          <w:b/>
          <w:bCs/>
          <w:sz w:val="24"/>
          <w:szCs w:val="24"/>
        </w:rPr>
        <w:t xml:space="preserve"> was approved.</w:t>
      </w:r>
      <w:r w:rsidR="00977994" w:rsidRPr="00615076">
        <w:rPr>
          <w:rFonts w:ascii="Times New Roman" w:hAnsi="Times New Roman"/>
          <w:sz w:val="24"/>
          <w:szCs w:val="24"/>
        </w:rPr>
        <w:t xml:space="preserve"> </w:t>
      </w:r>
    </w:p>
    <w:bookmarkEnd w:id="1"/>
    <w:p w14:paraId="7DCF9BC5" w14:textId="77777777" w:rsidR="008A38C1" w:rsidRPr="00F77189" w:rsidRDefault="008A38C1" w:rsidP="003F1854">
      <w:pPr>
        <w:contextualSpacing/>
      </w:pPr>
    </w:p>
    <w:p w14:paraId="05FDC541" w14:textId="0D6568DD" w:rsidR="00F147B1" w:rsidRPr="00F77189" w:rsidRDefault="00A52CFD" w:rsidP="003F1854">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3F1854">
      <w:pPr>
        <w:contextualSpacing/>
        <w:rPr>
          <w:b/>
          <w:bCs/>
        </w:rPr>
      </w:pPr>
    </w:p>
    <w:p w14:paraId="0778A805" w14:textId="160CD5F5" w:rsidR="001E04DA" w:rsidRPr="009A5A06" w:rsidRDefault="009A5A06" w:rsidP="003F1854">
      <w:pPr>
        <w:pStyle w:val="ListParagraph"/>
        <w:numPr>
          <w:ilvl w:val="0"/>
          <w:numId w:val="7"/>
        </w:numPr>
        <w:spacing w:after="0" w:line="240" w:lineRule="auto"/>
        <w:rPr>
          <w:rFonts w:ascii="Times New Roman" w:hAnsi="Times New Roman" w:cs="Times New Roman"/>
          <w:b/>
          <w:bCs/>
          <w:sz w:val="24"/>
          <w:szCs w:val="24"/>
          <w:u w:val="single"/>
        </w:rPr>
      </w:pPr>
      <w:bookmarkStart w:id="2" w:name="_Hlk178494567"/>
      <w:r w:rsidRPr="009A5A06">
        <w:rPr>
          <w:rFonts w:ascii="Times New Roman" w:hAnsi="Times New Roman" w:cs="Times New Roman"/>
          <w:b/>
          <w:bCs/>
          <w:sz w:val="24"/>
          <w:szCs w:val="24"/>
          <w:u w:val="single"/>
        </w:rPr>
        <w:t>Annual Report Template and Due Date</w:t>
      </w:r>
    </w:p>
    <w:p w14:paraId="082E27D2" w14:textId="6760DE1F" w:rsidR="009A5A06" w:rsidRPr="009A5A06" w:rsidRDefault="009A5A06" w:rsidP="009A5A06">
      <w:pPr>
        <w:numPr>
          <w:ilvl w:val="1"/>
          <w:numId w:val="7"/>
        </w:numPr>
        <w:contextualSpacing/>
      </w:pPr>
      <w:r w:rsidRPr="00615076">
        <w:rPr>
          <w:b/>
          <w:bCs/>
          <w:u w:val="single"/>
        </w:rPr>
        <w:t>ECUS-SCC Action</w:t>
      </w:r>
      <w:r w:rsidRPr="009A5A06">
        <w:rPr>
          <w:b/>
          <w:bCs/>
        </w:rPr>
        <w:t xml:space="preserve"> </w:t>
      </w:r>
      <w:r w:rsidRPr="009A5A06">
        <w:t xml:space="preserve">A </w:t>
      </w:r>
      <w:r w:rsidRPr="009A5A06">
        <w:rPr>
          <w:b/>
          <w:u w:val="single"/>
        </w:rPr>
        <w:t>Motion</w:t>
      </w:r>
      <w:r w:rsidRPr="009A5A06">
        <w:t xml:space="preserve"> </w:t>
      </w:r>
      <w:r w:rsidRPr="009A5A06">
        <w:rPr>
          <w:i/>
        </w:rPr>
        <w:t xml:space="preserve">to </w:t>
      </w:r>
      <w:r>
        <w:rPr>
          <w:i/>
        </w:rPr>
        <w:t xml:space="preserve">approve the annual report template and due date of Friday, May </w:t>
      </w:r>
      <w:r w:rsidRPr="009A5A06">
        <w:rPr>
          <w:i/>
        </w:rPr>
        <w:t>16</w:t>
      </w:r>
      <w:r w:rsidRPr="009A5A06">
        <w:rPr>
          <w:iCs/>
        </w:rPr>
        <w:t xml:space="preserve"> </w:t>
      </w:r>
      <w:r w:rsidRPr="009A5A06">
        <w:t>was made</w:t>
      </w:r>
      <w:r>
        <w:t xml:space="preserve"> and seconded. </w:t>
      </w:r>
      <w:r>
        <w:rPr>
          <w:b/>
          <w:bCs/>
        </w:rPr>
        <w:t>The motion was approved.</w:t>
      </w:r>
    </w:p>
    <w:bookmarkEnd w:id="2"/>
    <w:p w14:paraId="13609C84" w14:textId="4B054C4F" w:rsidR="00F147B1" w:rsidRPr="00F77189" w:rsidRDefault="00A52CFD" w:rsidP="003F1854">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Steering of Items to Committees</w:t>
      </w:r>
    </w:p>
    <w:p w14:paraId="6B317773" w14:textId="6D670FA3" w:rsidR="00F147B1" w:rsidRPr="00F77189" w:rsidRDefault="001B28B8" w:rsidP="003F1854">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items were </w:t>
      </w:r>
      <w:r w:rsidR="00D912B3" w:rsidRPr="00F77189">
        <w:rPr>
          <w:rFonts w:ascii="Times New Roman" w:hAnsi="Times New Roman" w:cs="Times New Roman"/>
          <w:sz w:val="24"/>
          <w:szCs w:val="24"/>
        </w:rPr>
        <w:t>steered</w:t>
      </w:r>
    </w:p>
    <w:p w14:paraId="1F7A5C05" w14:textId="77777777" w:rsidR="00F147B1" w:rsidRPr="00F77189" w:rsidRDefault="00A52CFD" w:rsidP="003F1854">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3CB54C43" w14:textId="704A2165" w:rsidR="00F147B1" w:rsidRPr="00F77189" w:rsidRDefault="00A52CFD" w:rsidP="003F1854">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sidR="001B28B8" w:rsidRPr="001B28B8">
        <w:rPr>
          <w:rFonts w:ascii="Times New Roman" w:hAnsi="Times New Roman" w:cs="Times New Roman"/>
          <w:b/>
          <w:bCs/>
          <w:sz w:val="24"/>
          <w:szCs w:val="24"/>
          <w:u w:val="single"/>
        </w:rPr>
        <w:t>25</w:t>
      </w:r>
      <w:r w:rsidR="00CE1F0E" w:rsidRPr="001B28B8">
        <w:rPr>
          <w:rFonts w:ascii="Times New Roman" w:hAnsi="Times New Roman" w:cs="Times New Roman"/>
          <w:b/>
          <w:bCs/>
          <w:sz w:val="24"/>
          <w:szCs w:val="24"/>
          <w:u w:val="single"/>
        </w:rPr>
        <w:t xml:space="preserve"> </w:t>
      </w:r>
      <w:r w:rsidR="001B28B8" w:rsidRPr="001B28B8">
        <w:rPr>
          <w:rFonts w:ascii="Times New Roman" w:hAnsi="Times New Roman" w:cs="Times New Roman"/>
          <w:b/>
          <w:bCs/>
          <w:sz w:val="24"/>
          <w:szCs w:val="24"/>
          <w:u w:val="single"/>
        </w:rPr>
        <w:t>Apr</w:t>
      </w:r>
      <w:r w:rsidRPr="001B28B8">
        <w:rPr>
          <w:rFonts w:ascii="Times New Roman" w:hAnsi="Times New Roman" w:cs="Times New Roman"/>
          <w:b/>
          <w:bCs/>
          <w:sz w:val="24"/>
          <w:szCs w:val="24"/>
          <w:u w:val="single"/>
        </w:rPr>
        <w:t xml:space="preserve"> 20</w:t>
      </w:r>
      <w:r w:rsidR="00A851C9" w:rsidRPr="001B28B8">
        <w:rPr>
          <w:rFonts w:ascii="Times New Roman" w:hAnsi="Times New Roman" w:cs="Times New Roman"/>
          <w:b/>
          <w:bCs/>
          <w:sz w:val="24"/>
          <w:szCs w:val="24"/>
          <w:u w:val="single"/>
        </w:rPr>
        <w:t>2</w:t>
      </w:r>
      <w:r w:rsidR="001B28B8" w:rsidRPr="001B28B8">
        <w:rPr>
          <w:rFonts w:ascii="Times New Roman" w:hAnsi="Times New Roman" w:cs="Times New Roman"/>
          <w:b/>
          <w:bCs/>
          <w:sz w:val="24"/>
          <w:szCs w:val="24"/>
          <w:u w:val="single"/>
        </w:rPr>
        <w:t>5</w:t>
      </w:r>
    </w:p>
    <w:p w14:paraId="2CF64676" w14:textId="3F522AA8" w:rsidR="00A52CFD" w:rsidRPr="00F77189" w:rsidRDefault="00A52CFD" w:rsidP="003F1854">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3F1854">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3EAAFB65" w14:textId="3668A850" w:rsidR="001B28B8" w:rsidRPr="00F77189" w:rsidRDefault="001B28B8" w:rsidP="001B28B8">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sidRPr="001B28B8">
        <w:rPr>
          <w:rFonts w:ascii="Times New Roman" w:hAnsi="Times New Roman" w:cs="Times New Roman"/>
          <w:b/>
          <w:bCs/>
          <w:sz w:val="24"/>
          <w:szCs w:val="24"/>
          <w:u w:val="single"/>
        </w:rPr>
        <w:t>25 Apr 2025</w:t>
      </w:r>
      <w:r>
        <w:rPr>
          <w:rFonts w:ascii="Times New Roman" w:hAnsi="Times New Roman" w:cs="Times New Roman"/>
          <w:b/>
          <w:bCs/>
          <w:sz w:val="24"/>
          <w:szCs w:val="24"/>
          <w:u w:val="single"/>
        </w:rPr>
        <w:t xml:space="preserve"> Organizational</w:t>
      </w:r>
    </w:p>
    <w:p w14:paraId="52303BD5" w14:textId="66F7AC7B" w:rsidR="001B28B8" w:rsidRDefault="001B28B8" w:rsidP="001B28B8">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Motion: 2025-2026 Slate of Nominees</w:t>
      </w:r>
    </w:p>
    <w:p w14:paraId="22328840" w14:textId="3A43C8BC" w:rsidR="001B28B8" w:rsidRPr="00F77189" w:rsidRDefault="001B28B8" w:rsidP="001B28B8">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Supplemental Items of Business: Standing Committee Organization Meetings</w:t>
      </w:r>
    </w:p>
    <w:p w14:paraId="7107EC85" w14:textId="3C0C89BE" w:rsidR="00642663" w:rsidRPr="0046649B" w:rsidRDefault="00231565" w:rsidP="003F1854">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that the DRAFT minutes of t</w:t>
      </w:r>
      <w:r w:rsidRPr="001B28B8">
        <w:rPr>
          <w:rFonts w:ascii="Times New Roman" w:hAnsi="Times New Roman" w:cs="Times New Roman"/>
          <w:i/>
          <w:iCs/>
          <w:sz w:val="24"/>
          <w:szCs w:val="24"/>
        </w:rPr>
        <w:t xml:space="preserve">he </w:t>
      </w:r>
      <w:r w:rsidR="001B28B8" w:rsidRPr="001B28B8">
        <w:rPr>
          <w:rFonts w:ascii="Times New Roman" w:hAnsi="Times New Roman" w:cs="Times New Roman"/>
          <w:i/>
          <w:iCs/>
          <w:sz w:val="24"/>
          <w:szCs w:val="24"/>
        </w:rPr>
        <w:t>7 Mar 2025</w:t>
      </w:r>
      <w:r w:rsidRPr="00F77189">
        <w:rPr>
          <w:rFonts w:ascii="Times New Roman" w:hAnsi="Times New Roman" w:cs="Times New Roman"/>
          <w:i/>
          <w:iCs/>
          <w:sz w:val="24"/>
          <w:szCs w:val="24"/>
        </w:rPr>
        <w:t xml:space="preserve"> meeting of the </w:t>
      </w:r>
      <w:r w:rsidR="00755073" w:rsidRPr="00F77189">
        <w:rPr>
          <w:rFonts w:ascii="Times New Roman" w:hAnsi="Times New Roman" w:cs="Times New Roman"/>
          <w:i/>
          <w:iCs/>
          <w:sz w:val="24"/>
          <w:szCs w:val="24"/>
        </w:rPr>
        <w:t>202</w:t>
      </w:r>
      <w:r w:rsidR="00CE1F0E">
        <w:rPr>
          <w:rFonts w:ascii="Times New Roman" w:hAnsi="Times New Roman" w:cs="Times New Roman"/>
          <w:i/>
          <w:iCs/>
          <w:sz w:val="24"/>
          <w:szCs w:val="24"/>
        </w:rPr>
        <w:t>4</w:t>
      </w:r>
      <w:r w:rsidR="00755073" w:rsidRPr="00F77189">
        <w:rPr>
          <w:rFonts w:ascii="Times New Roman" w:hAnsi="Times New Roman" w:cs="Times New Roman"/>
          <w:i/>
          <w:iCs/>
          <w:sz w:val="24"/>
          <w:szCs w:val="24"/>
        </w:rPr>
        <w:t>-</w:t>
      </w:r>
      <w:r w:rsidRPr="00F77189">
        <w:rPr>
          <w:rFonts w:ascii="Times New Roman" w:hAnsi="Times New Roman" w:cs="Times New Roman"/>
          <w:i/>
          <w:iCs/>
          <w:sz w:val="24"/>
          <w:szCs w:val="24"/>
        </w:rPr>
        <w:t>202</w:t>
      </w:r>
      <w:r w:rsidR="00CE1F0E">
        <w:rPr>
          <w:rFonts w:ascii="Times New Roman" w:hAnsi="Times New Roman" w:cs="Times New Roman"/>
          <w:i/>
          <w:iCs/>
          <w:sz w:val="24"/>
          <w:szCs w:val="24"/>
        </w:rPr>
        <w:t>5</w:t>
      </w:r>
      <w:r w:rsidRPr="00F77189">
        <w:rPr>
          <w:rFonts w:ascii="Times New Roman" w:hAnsi="Times New Roman" w:cs="Times New Roman"/>
          <w:i/>
          <w:iCs/>
          <w:sz w:val="24"/>
          <w:szCs w:val="24"/>
        </w:rPr>
        <w:t xml:space="preserve"> University Senate be circulated for university senator review</w:t>
      </w:r>
      <w:r w:rsidRPr="00F77189">
        <w:rPr>
          <w:rFonts w:ascii="Times New Roman" w:hAnsi="Times New Roman" w:cs="Times New Roman"/>
          <w:sz w:val="24"/>
          <w:szCs w:val="24"/>
        </w:rPr>
        <w:t xml:space="preserve"> was made and seconded</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3F1854">
      <w:pPr>
        <w:contextualSpacing/>
      </w:pPr>
    </w:p>
    <w:p w14:paraId="0AF37EDC" w14:textId="40445C0F" w:rsidR="006226E0" w:rsidRPr="00F77189" w:rsidRDefault="006226E0" w:rsidP="003F1854">
      <w:pPr>
        <w:contextualSpacing/>
        <w:rPr>
          <w:b/>
          <w:bCs/>
        </w:rPr>
      </w:pPr>
      <w:r w:rsidRPr="00F77189">
        <w:rPr>
          <w:b/>
          <w:bCs/>
        </w:rPr>
        <w:t>VIII. Open Discussion</w:t>
      </w:r>
    </w:p>
    <w:p w14:paraId="3A567C7D" w14:textId="77777777" w:rsidR="006226E0" w:rsidRPr="00F77189" w:rsidRDefault="006226E0" w:rsidP="003F1854">
      <w:pPr>
        <w:contextualSpacing/>
      </w:pPr>
    </w:p>
    <w:p w14:paraId="1D01CBBB" w14:textId="18C6A065" w:rsidR="00174638" w:rsidRPr="001B28B8" w:rsidRDefault="008F0056" w:rsidP="001B28B8">
      <w:pPr>
        <w:pStyle w:val="ListParagraph"/>
        <w:numPr>
          <w:ilvl w:val="0"/>
          <w:numId w:val="10"/>
        </w:numPr>
        <w:spacing w:after="0" w:line="240" w:lineRule="auto"/>
        <w:rPr>
          <w:rFonts w:ascii="Times New Roman" w:hAnsi="Times New Roman" w:cs="Times New Roman"/>
          <w:b/>
          <w:bCs/>
          <w:sz w:val="24"/>
          <w:szCs w:val="24"/>
          <w:u w:val="single"/>
        </w:rPr>
      </w:pPr>
      <w:r w:rsidRPr="00174638">
        <w:rPr>
          <w:rFonts w:ascii="Times New Roman" w:hAnsi="Times New Roman" w:cs="Times New Roman"/>
          <w:sz w:val="24"/>
          <w:szCs w:val="24"/>
        </w:rPr>
        <w:t>There was no open discussion.</w:t>
      </w:r>
    </w:p>
    <w:p w14:paraId="03BAD3A3" w14:textId="77777777" w:rsidR="00D912B3" w:rsidRPr="00F77189" w:rsidRDefault="00D912B3" w:rsidP="003F1854">
      <w:pPr>
        <w:contextualSpacing/>
        <w:rPr>
          <w:b/>
          <w:bCs/>
        </w:rPr>
      </w:pPr>
    </w:p>
    <w:p w14:paraId="195EFA1D" w14:textId="3F88F20E" w:rsidR="008868CB" w:rsidRPr="00F77189" w:rsidRDefault="003308D6" w:rsidP="003F1854">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3F1854">
      <w:pPr>
        <w:contextualSpacing/>
      </w:pPr>
    </w:p>
    <w:p w14:paraId="7128CA3D" w14:textId="77777777" w:rsidR="008868CB" w:rsidRPr="00F77189" w:rsidRDefault="008868CB" w:rsidP="003F1854">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7818C46F" w:rsidR="008868CB" w:rsidRPr="00F77189" w:rsidRDefault="008868CB" w:rsidP="003F1854">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Friday, </w:t>
      </w:r>
      <w:r w:rsidR="00D90FB5">
        <w:rPr>
          <w:rFonts w:ascii="Times New Roman" w:hAnsi="Times New Roman" w:cs="Times New Roman"/>
          <w:sz w:val="24"/>
          <w:szCs w:val="24"/>
        </w:rPr>
        <w:t>25 Apr 2025</w:t>
      </w:r>
      <w:r w:rsidRPr="00F77189">
        <w:rPr>
          <w:rFonts w:ascii="Times New Roman" w:hAnsi="Times New Roman" w:cs="Times New Roman"/>
          <w:sz w:val="24"/>
          <w:szCs w:val="24"/>
        </w:rPr>
        <w:t xml:space="preserve">, </w:t>
      </w:r>
      <w:r w:rsidR="00D90FB5">
        <w:rPr>
          <w:rFonts w:ascii="Times New Roman" w:hAnsi="Times New Roman" w:cs="Times New Roman"/>
          <w:sz w:val="24"/>
          <w:szCs w:val="24"/>
        </w:rPr>
        <w:t>2</w:t>
      </w:r>
      <w:r w:rsidRPr="00F77189">
        <w:rPr>
          <w:rFonts w:ascii="Times New Roman" w:hAnsi="Times New Roman" w:cs="Times New Roman"/>
          <w:sz w:val="24"/>
          <w:szCs w:val="24"/>
        </w:rPr>
        <w:t>:</w:t>
      </w:r>
      <w:r w:rsidR="00D90FB5">
        <w:rPr>
          <w:rFonts w:ascii="Times New Roman" w:hAnsi="Times New Roman" w:cs="Times New Roman"/>
          <w:sz w:val="24"/>
          <w:szCs w:val="24"/>
        </w:rPr>
        <w:t>0</w:t>
      </w:r>
      <w:r w:rsidRPr="00F77189">
        <w:rPr>
          <w:rFonts w:ascii="Times New Roman" w:hAnsi="Times New Roman" w:cs="Times New Roman"/>
          <w:sz w:val="24"/>
          <w:szCs w:val="24"/>
        </w:rPr>
        <w:t xml:space="preserve">0 p.m., </w:t>
      </w:r>
      <w:r w:rsidR="0046649B">
        <w:rPr>
          <w:rFonts w:ascii="Times New Roman" w:hAnsi="Times New Roman" w:cs="Times New Roman"/>
          <w:sz w:val="24"/>
          <w:szCs w:val="24"/>
        </w:rPr>
        <w:t>Arts &amp; Sciences 272</w:t>
      </w:r>
    </w:p>
    <w:p w14:paraId="09F3ADF1" w14:textId="59B7F62F" w:rsidR="00D90FB5" w:rsidRPr="00F77189" w:rsidRDefault="00D90FB5" w:rsidP="00D90FB5">
      <w:pPr>
        <w:pStyle w:val="ListParagraph"/>
        <w:numPr>
          <w:ilvl w:val="1"/>
          <w:numId w:val="1"/>
        </w:numPr>
        <w:spacing w:after="0" w:line="240" w:lineRule="auto"/>
        <w:rPr>
          <w:rFonts w:ascii="Times New Roman" w:hAnsi="Times New Roman" w:cs="Times New Roman"/>
          <w:sz w:val="24"/>
          <w:szCs w:val="24"/>
        </w:rPr>
      </w:pPr>
      <w:bookmarkStart w:id="3" w:name="_Hlk69714524"/>
      <w:r w:rsidRPr="00F77189">
        <w:rPr>
          <w:rFonts w:ascii="Times New Roman" w:hAnsi="Times New Roman" w:cs="Times New Roman"/>
          <w:sz w:val="24"/>
          <w:szCs w:val="24"/>
        </w:rPr>
        <w:t xml:space="preserve">University Senate Meeting </w:t>
      </w:r>
      <w:r>
        <w:rPr>
          <w:rFonts w:ascii="Times New Roman" w:hAnsi="Times New Roman" w:cs="Times New Roman"/>
          <w:sz w:val="24"/>
          <w:szCs w:val="24"/>
        </w:rPr>
        <w:t xml:space="preserve">(Organizational) </w:t>
      </w:r>
      <w:r w:rsidRPr="00F77189">
        <w:rPr>
          <w:rFonts w:ascii="Times New Roman" w:hAnsi="Times New Roman" w:cs="Times New Roman"/>
          <w:sz w:val="24"/>
          <w:szCs w:val="24"/>
        </w:rPr>
        <w:t xml:space="preserve">– Friday, </w:t>
      </w:r>
      <w:r>
        <w:rPr>
          <w:rFonts w:ascii="Times New Roman" w:hAnsi="Times New Roman" w:cs="Times New Roman"/>
          <w:sz w:val="24"/>
          <w:szCs w:val="24"/>
        </w:rPr>
        <w:t>25 Apr 2025</w:t>
      </w:r>
      <w:r w:rsidRPr="00F77189">
        <w:rPr>
          <w:rFonts w:ascii="Times New Roman" w:hAnsi="Times New Roman" w:cs="Times New Roman"/>
          <w:sz w:val="24"/>
          <w:szCs w:val="24"/>
        </w:rPr>
        <w:t xml:space="preserve">, </w:t>
      </w:r>
      <w:r>
        <w:rPr>
          <w:rFonts w:ascii="Times New Roman" w:hAnsi="Times New Roman" w:cs="Times New Roman"/>
          <w:sz w:val="24"/>
          <w:szCs w:val="24"/>
        </w:rPr>
        <w:t>3</w:t>
      </w:r>
      <w:r w:rsidRPr="00F77189">
        <w:rPr>
          <w:rFonts w:ascii="Times New Roman" w:hAnsi="Times New Roman" w:cs="Times New Roman"/>
          <w:sz w:val="24"/>
          <w:szCs w:val="24"/>
        </w:rPr>
        <w:t>:</w:t>
      </w:r>
      <w:r>
        <w:rPr>
          <w:rFonts w:ascii="Times New Roman" w:hAnsi="Times New Roman" w:cs="Times New Roman"/>
          <w:sz w:val="24"/>
          <w:szCs w:val="24"/>
        </w:rPr>
        <w:t>3</w:t>
      </w:r>
      <w:r w:rsidRPr="00F77189">
        <w:rPr>
          <w:rFonts w:ascii="Times New Roman" w:hAnsi="Times New Roman" w:cs="Times New Roman"/>
          <w:sz w:val="24"/>
          <w:szCs w:val="24"/>
        </w:rPr>
        <w:t xml:space="preserve">0 p.m., </w:t>
      </w:r>
      <w:r>
        <w:rPr>
          <w:rFonts w:ascii="Times New Roman" w:hAnsi="Times New Roman" w:cs="Times New Roman"/>
          <w:sz w:val="24"/>
          <w:szCs w:val="24"/>
        </w:rPr>
        <w:t>Arts &amp; Sciences 272</w:t>
      </w:r>
    </w:p>
    <w:p w14:paraId="74A8BAAD" w14:textId="7E94952B" w:rsidR="00175ED7" w:rsidRPr="00D90FB5" w:rsidRDefault="00D90FB5" w:rsidP="00D90FB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Governance Retreat </w:t>
      </w:r>
      <w:r w:rsidR="00887811" w:rsidRPr="00F77189">
        <w:rPr>
          <w:rFonts w:ascii="Times New Roman" w:hAnsi="Times New Roman" w:cs="Times New Roman"/>
          <w:sz w:val="24"/>
          <w:szCs w:val="24"/>
        </w:rPr>
        <w:t>–</w:t>
      </w:r>
      <w:r w:rsidR="00887811">
        <w:rPr>
          <w:rFonts w:ascii="Times New Roman" w:hAnsi="Times New Roman" w:cs="Times New Roman"/>
          <w:sz w:val="24"/>
          <w:szCs w:val="24"/>
        </w:rPr>
        <w:t xml:space="preserve"> </w:t>
      </w:r>
      <w:r>
        <w:rPr>
          <w:rFonts w:ascii="Times New Roman" w:hAnsi="Times New Roman" w:cs="Times New Roman"/>
          <w:sz w:val="24"/>
          <w:szCs w:val="24"/>
        </w:rPr>
        <w:t>Monday, 11 Aug 2025</w:t>
      </w:r>
      <w:r w:rsidR="00887811">
        <w:rPr>
          <w:rFonts w:ascii="Times New Roman" w:hAnsi="Times New Roman" w:cs="Times New Roman"/>
          <w:sz w:val="24"/>
          <w:szCs w:val="24"/>
        </w:rPr>
        <w:t xml:space="preserve">, </w:t>
      </w:r>
      <w:r>
        <w:rPr>
          <w:rFonts w:ascii="Times New Roman" w:hAnsi="Times New Roman" w:cs="Times New Roman"/>
          <w:sz w:val="24"/>
          <w:szCs w:val="24"/>
        </w:rPr>
        <w:t>9</w:t>
      </w:r>
      <w:r w:rsidR="00887811">
        <w:rPr>
          <w:rFonts w:ascii="Times New Roman" w:hAnsi="Times New Roman" w:cs="Times New Roman"/>
          <w:sz w:val="24"/>
          <w:szCs w:val="24"/>
        </w:rPr>
        <w:t xml:space="preserve">:00 </w:t>
      </w:r>
      <w:r>
        <w:rPr>
          <w:rFonts w:ascii="Times New Roman" w:hAnsi="Times New Roman" w:cs="Times New Roman"/>
          <w:sz w:val="24"/>
          <w:szCs w:val="24"/>
        </w:rPr>
        <w:t>a</w:t>
      </w:r>
      <w:r w:rsidR="00887811">
        <w:rPr>
          <w:rFonts w:ascii="Times New Roman" w:hAnsi="Times New Roman" w:cs="Times New Roman"/>
          <w:sz w:val="24"/>
          <w:szCs w:val="24"/>
        </w:rPr>
        <w:t xml:space="preserve">.m., </w:t>
      </w:r>
      <w:r>
        <w:rPr>
          <w:rFonts w:ascii="Times New Roman" w:hAnsi="Times New Roman" w:cs="Times New Roman"/>
          <w:sz w:val="24"/>
          <w:szCs w:val="24"/>
        </w:rPr>
        <w:t>TBA</w:t>
      </w:r>
    </w:p>
    <w:bookmarkEnd w:id="3"/>
    <w:p w14:paraId="00A3A30D" w14:textId="4921DF9A" w:rsidR="000B362D" w:rsidRPr="00F77189" w:rsidRDefault="008868CB" w:rsidP="003F1854">
      <w:pPr>
        <w:pStyle w:val="ListParagraph"/>
        <w:numPr>
          <w:ilvl w:val="0"/>
          <w:numId w:val="1"/>
        </w:numPr>
        <w:spacing w:after="0" w:line="240" w:lineRule="auto"/>
        <w:rPr>
          <w:rFonts w:ascii="Times New Roman" w:hAnsi="Times New Roman" w:cs="Times New Roman"/>
          <w:b/>
          <w:bCs/>
          <w:sz w:val="24"/>
          <w:szCs w:val="24"/>
        </w:rPr>
      </w:pPr>
      <w:r w:rsidRPr="00F77189">
        <w:rPr>
          <w:rFonts w:ascii="Times New Roman" w:hAnsi="Times New Roman" w:cs="Times New Roman"/>
          <w:b/>
          <w:bCs/>
          <w:sz w:val="24"/>
          <w:szCs w:val="24"/>
          <w:u w:val="single"/>
        </w:rPr>
        <w:lastRenderedPageBreak/>
        <w:t>Tentative Agenda</w:t>
      </w:r>
      <w:r w:rsidRPr="00F77189">
        <w:rPr>
          <w:rFonts w:ascii="Times New Roman" w:hAnsi="Times New Roman" w:cs="Times New Roman"/>
          <w:sz w:val="24"/>
          <w:szCs w:val="24"/>
        </w:rPr>
        <w:t xml:space="preserve"> Some of the deliberation today may have generated tentative agenda items for ECUS and ECUS-SCC meetings</w:t>
      </w:r>
      <w:r w:rsidR="00715E07" w:rsidRPr="00F77189">
        <w:rPr>
          <w:rFonts w:ascii="Times New Roman" w:hAnsi="Times New Roman" w:cs="Times New Roman"/>
          <w:sz w:val="24"/>
          <w:szCs w:val="24"/>
        </w:rPr>
        <w:t xml:space="preserve">. </w:t>
      </w:r>
      <w:r w:rsidR="00CE1F0E">
        <w:rPr>
          <w:rFonts w:ascii="Times New Roman" w:hAnsi="Times New Roman" w:cs="Times New Roman"/>
          <w:sz w:val="24"/>
          <w:szCs w:val="24"/>
          <w:highlight w:val="yellow"/>
        </w:rPr>
        <w:t>Nicholas Creel</w:t>
      </w:r>
      <w:r w:rsidR="00385907">
        <w:rPr>
          <w:rFonts w:ascii="Times New Roman" w:hAnsi="Times New Roman" w:cs="Times New Roman"/>
          <w:sz w:val="24"/>
          <w:szCs w:val="24"/>
          <w:highlight w:val="yellow"/>
        </w:rPr>
        <w:t xml:space="preserve"> w</w:t>
      </w:r>
      <w:r w:rsidRPr="00F77189">
        <w:rPr>
          <w:rFonts w:ascii="Times New Roman" w:hAnsi="Times New Roman" w:cs="Times New Roman"/>
          <w:sz w:val="24"/>
          <w:szCs w:val="24"/>
          <w:highlight w:val="yellow"/>
        </w:rPr>
        <w:t>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3F1854">
      <w:pPr>
        <w:contextualSpacing/>
      </w:pPr>
    </w:p>
    <w:p w14:paraId="04B0ECDB" w14:textId="4F8468E5" w:rsidR="000B362D" w:rsidRPr="00F77189" w:rsidRDefault="00CF31A3" w:rsidP="003F1854">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3F1854">
      <w:pPr>
        <w:contextualSpacing/>
        <w:rPr>
          <w:b/>
          <w:bCs/>
        </w:rPr>
      </w:pPr>
    </w:p>
    <w:p w14:paraId="333A1C2B" w14:textId="51E0E1FA" w:rsidR="000B362D" w:rsidRPr="00F77189" w:rsidRDefault="008868CB" w:rsidP="003F1854">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 xml:space="preserve">The motion to adjourn was approved and the meeting adjourned at </w:t>
      </w:r>
      <w:r w:rsidR="00D90FB5" w:rsidRPr="00D90FB5">
        <w:rPr>
          <w:rFonts w:ascii="Times New Roman" w:hAnsi="Times New Roman" w:cs="Times New Roman"/>
          <w:b/>
          <w:bCs/>
          <w:sz w:val="24"/>
          <w:szCs w:val="24"/>
        </w:rPr>
        <w:t>4</w:t>
      </w:r>
      <w:r w:rsidRPr="00D90FB5">
        <w:rPr>
          <w:rFonts w:ascii="Times New Roman" w:hAnsi="Times New Roman" w:cs="Times New Roman"/>
          <w:b/>
          <w:bCs/>
          <w:sz w:val="24"/>
          <w:szCs w:val="24"/>
        </w:rPr>
        <w:t>:</w:t>
      </w:r>
      <w:r w:rsidR="00D90FB5" w:rsidRPr="00D90FB5">
        <w:rPr>
          <w:rFonts w:ascii="Times New Roman" w:hAnsi="Times New Roman" w:cs="Times New Roman"/>
          <w:b/>
          <w:bCs/>
          <w:sz w:val="24"/>
          <w:szCs w:val="24"/>
        </w:rPr>
        <w:t>57</w:t>
      </w:r>
      <w:r w:rsidRPr="00F77189">
        <w:rPr>
          <w:rFonts w:ascii="Times New Roman" w:hAnsi="Times New Roman" w:cs="Times New Roman"/>
          <w:b/>
          <w:bCs/>
          <w:sz w:val="24"/>
          <w:szCs w:val="24"/>
        </w:rPr>
        <w:t xml:space="preserve"> p.m.</w:t>
      </w:r>
    </w:p>
    <w:p w14:paraId="7C380D1C" w14:textId="77777777" w:rsidR="007E54DC" w:rsidRPr="00F77189" w:rsidRDefault="007E54DC" w:rsidP="003F1854">
      <w:pPr>
        <w:contextualSpacing/>
        <w:rPr>
          <w:bCs/>
          <w:smallCaps/>
          <w:lang w:val="en"/>
        </w:rPr>
      </w:pPr>
    </w:p>
    <w:p w14:paraId="4635FC9C" w14:textId="44729E84" w:rsidR="000B362D" w:rsidRPr="00F77189" w:rsidRDefault="00551BB4" w:rsidP="003F1854">
      <w:pPr>
        <w:contextualSpacing/>
        <w:rPr>
          <w:b/>
          <w:lang w:val="en"/>
        </w:rPr>
      </w:pPr>
      <w:bookmarkStart w:id="4"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3F1854">
      <w:pPr>
        <w:contextualSpacing/>
        <w:rPr>
          <w:b/>
          <w:bCs/>
        </w:rPr>
      </w:pPr>
    </w:p>
    <w:p w14:paraId="4413CE7B" w14:textId="77777777" w:rsidR="00174638" w:rsidRPr="00174638" w:rsidRDefault="00174638" w:rsidP="003F1854">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t>There are no supporting documents.</w:t>
      </w:r>
    </w:p>
    <w:bookmarkEnd w:id="4"/>
    <w:p w14:paraId="188FE893" w14:textId="77777777" w:rsidR="007E54DC" w:rsidRPr="00F77189" w:rsidRDefault="007E54DC" w:rsidP="003F1854">
      <w:pPr>
        <w:contextualSpacing/>
      </w:pPr>
    </w:p>
    <w:p w14:paraId="3C058B26" w14:textId="0D5BDF3D" w:rsidR="001214C4" w:rsidRPr="00F77189" w:rsidRDefault="00973FD5" w:rsidP="003F1854">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3F1854">
      <w:pPr>
        <w:contextualSpacing/>
      </w:pPr>
      <w:r w:rsidRPr="00F77189">
        <w:br w:type="page"/>
      </w:r>
    </w:p>
    <w:p w14:paraId="3D2CE8AA" w14:textId="45357CAF" w:rsidR="00973FD5" w:rsidRPr="00F77189" w:rsidRDefault="0014666D" w:rsidP="003F1854">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6BB4F3C5" w:rsidR="00973FD5" w:rsidRPr="00F77189" w:rsidRDefault="0014666D" w:rsidP="003F1854">
      <w:pPr>
        <w:contextualSpacing/>
        <w:rPr>
          <w:b/>
          <w:bCs/>
          <w:smallCaps/>
          <w:u w:val="single"/>
        </w:rPr>
      </w:pPr>
      <w:r w:rsidRPr="00F77189">
        <w:rPr>
          <w:b/>
          <w:bCs/>
          <w:smallCaps/>
        </w:rPr>
        <w:t>Committee Officers</w:t>
      </w:r>
      <w:r w:rsidR="00973FD5" w:rsidRPr="00F77189">
        <w:rPr>
          <w:b/>
          <w:bCs/>
          <w:smallCaps/>
        </w:rPr>
        <w:t xml:space="preserve">: </w:t>
      </w:r>
      <w:r w:rsidR="00CC2955">
        <w:rPr>
          <w:smallCaps/>
        </w:rPr>
        <w:t>Nicholas Creel</w:t>
      </w:r>
      <w:r w:rsidR="001F380D">
        <w:rPr>
          <w:smallCaps/>
        </w:rPr>
        <w:t xml:space="preserve"> (</w:t>
      </w:r>
      <w:r w:rsidR="006B6F8A">
        <w:rPr>
          <w:smallCaps/>
        </w:rPr>
        <w:t>C</w:t>
      </w:r>
      <w:r w:rsidR="001F380D">
        <w:rPr>
          <w:smallCaps/>
        </w:rPr>
        <w:t xml:space="preserve">hair), </w:t>
      </w:r>
      <w:r w:rsidR="00CC2955">
        <w:rPr>
          <w:smallCaps/>
        </w:rPr>
        <w:t>Stephanie Jett</w:t>
      </w:r>
      <w:r w:rsidR="006B6F8A">
        <w:rPr>
          <w:smallCaps/>
        </w:rPr>
        <w:t xml:space="preserve"> (Vice-Chair), </w:t>
      </w:r>
      <w:r w:rsidR="006D0B3A" w:rsidRPr="00F77189">
        <w:rPr>
          <w:bCs/>
          <w:smallCaps/>
        </w:rPr>
        <w:t>Alex Blazer (Secretary)</w:t>
      </w:r>
    </w:p>
    <w:p w14:paraId="7209E5D6" w14:textId="73537B75" w:rsidR="00973FD5" w:rsidRPr="00F77189" w:rsidRDefault="0014666D" w:rsidP="003F1854">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CC2955">
        <w:rPr>
          <w:bCs/>
          <w:smallCaps/>
        </w:rPr>
        <w:t>4</w:t>
      </w:r>
      <w:r w:rsidR="002326B8" w:rsidRPr="00F77189">
        <w:rPr>
          <w:bCs/>
          <w:smallCaps/>
        </w:rPr>
        <w:t>-202</w:t>
      </w:r>
      <w:r w:rsidR="00CC2955">
        <w:rPr>
          <w:bCs/>
          <w:smallCaps/>
        </w:rPr>
        <w:t>5</w:t>
      </w:r>
    </w:p>
    <w:p w14:paraId="00C33576" w14:textId="77777777" w:rsidR="00171EE3" w:rsidRPr="00F77189" w:rsidRDefault="00171EE3" w:rsidP="003F1854">
      <w:pPr>
        <w:contextualSpacing/>
        <w:rPr>
          <w:b/>
        </w:rPr>
      </w:pPr>
    </w:p>
    <w:p w14:paraId="5BE6A6F0" w14:textId="77777777" w:rsidR="00171EE3" w:rsidRPr="00F77189" w:rsidRDefault="00FB54A6" w:rsidP="003F1854">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3F1854">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2"/>
        <w:gridCol w:w="317"/>
        <w:gridCol w:w="537"/>
        <w:gridCol w:w="657"/>
        <w:gridCol w:w="657"/>
        <w:gridCol w:w="657"/>
        <w:gridCol w:w="797"/>
        <w:gridCol w:w="738"/>
        <w:gridCol w:w="788"/>
        <w:gridCol w:w="689"/>
        <w:gridCol w:w="691"/>
        <w:gridCol w:w="692"/>
      </w:tblGrid>
      <w:tr w:rsidR="00F8681E" w:rsidRPr="00F77189" w14:paraId="10CD3ACA" w14:textId="77777777" w:rsidTr="00F63B67">
        <w:trPr>
          <w:trHeight w:val="329"/>
        </w:trPr>
        <w:tc>
          <w:tcPr>
            <w:tcW w:w="1410" w:type="dxa"/>
          </w:tcPr>
          <w:p w14:paraId="085EAB30" w14:textId="77777777" w:rsidR="0055324C" w:rsidRPr="00F77189" w:rsidRDefault="0055324C" w:rsidP="003F1854">
            <w:pPr>
              <w:ind w:left="180"/>
              <w:contextualSpacing/>
              <w:rPr>
                <w:highlight w:val="lightGray"/>
              </w:rPr>
            </w:pPr>
            <w:r w:rsidRPr="00F77189">
              <w:rPr>
                <w:highlight w:val="lightGray"/>
              </w:rPr>
              <w:t>Acronyms</w:t>
            </w:r>
          </w:p>
        </w:tc>
        <w:tc>
          <w:tcPr>
            <w:tcW w:w="592" w:type="dxa"/>
          </w:tcPr>
          <w:p w14:paraId="32DA0244" w14:textId="77777777" w:rsidR="0055324C" w:rsidRPr="00F77189" w:rsidRDefault="0055324C" w:rsidP="003F1854">
            <w:pPr>
              <w:ind w:left="180"/>
              <w:contextualSpacing/>
              <w:rPr>
                <w:highlight w:val="lightGray"/>
              </w:rPr>
            </w:pPr>
          </w:p>
        </w:tc>
        <w:tc>
          <w:tcPr>
            <w:tcW w:w="7220" w:type="dxa"/>
            <w:gridSpan w:val="11"/>
          </w:tcPr>
          <w:p w14:paraId="7095BC86" w14:textId="77777777" w:rsidR="0055324C" w:rsidRPr="00F77189" w:rsidRDefault="0055324C" w:rsidP="003F1854">
            <w:pPr>
              <w:ind w:left="180"/>
              <w:contextualSpacing/>
              <w:rPr>
                <w:highlight w:val="lightGray"/>
              </w:rPr>
            </w:pPr>
            <w:r w:rsidRPr="00F77189">
              <w:rPr>
                <w:highlight w:val="lightGray"/>
              </w:rPr>
              <w:t>EFS = Elected Faculty Senator</w:t>
            </w:r>
          </w:p>
          <w:p w14:paraId="3B6E4802" w14:textId="77777777" w:rsidR="0055324C" w:rsidRPr="00F77189" w:rsidRDefault="0055324C" w:rsidP="003F1854">
            <w:pPr>
              <w:ind w:left="180"/>
              <w:contextualSpacing/>
              <w:rPr>
                <w:highlight w:val="lightGray"/>
              </w:rPr>
            </w:pPr>
            <w:proofErr w:type="spellStart"/>
            <w:r w:rsidRPr="00F77189">
              <w:rPr>
                <w:highlight w:val="lightGray"/>
              </w:rPr>
              <w:t>CoAS</w:t>
            </w:r>
            <w:proofErr w:type="spellEnd"/>
            <w:r w:rsidRPr="00F77189">
              <w:rPr>
                <w:highlight w:val="lightGray"/>
              </w:rPr>
              <w:t xml:space="preserve"> = College of Arts and Sciences; </w:t>
            </w:r>
            <w:proofErr w:type="spellStart"/>
            <w:r w:rsidRPr="00F77189">
              <w:rPr>
                <w:highlight w:val="lightGray"/>
              </w:rPr>
              <w:t>CoB</w:t>
            </w:r>
            <w:proofErr w:type="spellEnd"/>
            <w:r w:rsidRPr="00F77189">
              <w:rPr>
                <w:highlight w:val="lightGray"/>
              </w:rPr>
              <w:t xml:space="preserve"> = College of Business; </w:t>
            </w:r>
            <w:proofErr w:type="spellStart"/>
            <w:r w:rsidRPr="00F77189">
              <w:rPr>
                <w:highlight w:val="lightGray"/>
              </w:rPr>
              <w:t>CoE</w:t>
            </w:r>
            <w:proofErr w:type="spellEnd"/>
            <w:r w:rsidRPr="00F77189">
              <w:rPr>
                <w:highlight w:val="lightGray"/>
              </w:rPr>
              <w:t xml:space="preserve"> = College of Education; </w:t>
            </w:r>
            <w:proofErr w:type="spellStart"/>
            <w:r w:rsidRPr="00F77189">
              <w:rPr>
                <w:highlight w:val="lightGray"/>
              </w:rPr>
              <w:t>CoHS</w:t>
            </w:r>
            <w:proofErr w:type="spellEnd"/>
            <w:r w:rsidRPr="00F77189">
              <w:rPr>
                <w:highlight w:val="lightGray"/>
              </w:rPr>
              <w:t xml:space="preserve"> = College of Health Sciences</w:t>
            </w:r>
          </w:p>
        </w:tc>
      </w:tr>
      <w:tr w:rsidR="00372002" w:rsidRPr="00F77189" w14:paraId="22D98CF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9" w:type="dxa"/>
            <w:gridSpan w:val="3"/>
            <w:tcBorders>
              <w:left w:val="double" w:sz="4" w:space="0" w:color="auto"/>
              <w:bottom w:val="single" w:sz="4" w:space="0" w:color="auto"/>
            </w:tcBorders>
          </w:tcPr>
          <w:p w14:paraId="2C55047E" w14:textId="77777777" w:rsidR="00372002" w:rsidRPr="00F77189" w:rsidRDefault="00372002" w:rsidP="003F1854">
            <w:pPr>
              <w:contextualSpacing/>
            </w:pPr>
            <w:r w:rsidRPr="00F77189">
              <w:t>Meeting Dates</w:t>
            </w:r>
          </w:p>
        </w:tc>
        <w:tc>
          <w:tcPr>
            <w:tcW w:w="537" w:type="dxa"/>
            <w:tcBorders>
              <w:bottom w:val="single" w:sz="4" w:space="0" w:color="auto"/>
            </w:tcBorders>
            <w:vAlign w:val="center"/>
          </w:tcPr>
          <w:p w14:paraId="549A1696" w14:textId="026B0A1B" w:rsidR="00372002" w:rsidRPr="00F77189" w:rsidRDefault="00372002" w:rsidP="003F1854">
            <w:pPr>
              <w:contextualSpacing/>
              <w:jc w:val="center"/>
            </w:pPr>
            <w:r w:rsidRPr="00250CAA">
              <w:t>9/</w:t>
            </w:r>
            <w:r w:rsidR="00F63B67">
              <w:t>6</w:t>
            </w:r>
          </w:p>
        </w:tc>
        <w:tc>
          <w:tcPr>
            <w:tcW w:w="657" w:type="dxa"/>
            <w:tcBorders>
              <w:bottom w:val="single" w:sz="4" w:space="0" w:color="auto"/>
            </w:tcBorders>
            <w:vAlign w:val="center"/>
          </w:tcPr>
          <w:p w14:paraId="366156E7" w14:textId="50752DDD" w:rsidR="00372002" w:rsidRPr="00F77189" w:rsidRDefault="00372002" w:rsidP="003F1854">
            <w:pPr>
              <w:contextualSpacing/>
              <w:jc w:val="center"/>
            </w:pPr>
            <w:r w:rsidRPr="00250CAA">
              <w:t>10/</w:t>
            </w:r>
            <w:r w:rsidR="00F63B67">
              <w:t>4</w:t>
            </w:r>
          </w:p>
        </w:tc>
        <w:tc>
          <w:tcPr>
            <w:tcW w:w="657" w:type="dxa"/>
            <w:tcBorders>
              <w:bottom w:val="single" w:sz="4" w:space="0" w:color="auto"/>
            </w:tcBorders>
            <w:vAlign w:val="center"/>
          </w:tcPr>
          <w:p w14:paraId="4F4FB0A9" w14:textId="0FEA9D7F" w:rsidR="00372002" w:rsidRPr="00F77189" w:rsidRDefault="00372002" w:rsidP="003F1854">
            <w:pPr>
              <w:contextualSpacing/>
              <w:jc w:val="center"/>
            </w:pPr>
            <w:r w:rsidRPr="00250CAA">
              <w:t>11/</w:t>
            </w:r>
            <w:r w:rsidR="00F63B67">
              <w:t>1</w:t>
            </w:r>
          </w:p>
        </w:tc>
        <w:tc>
          <w:tcPr>
            <w:tcW w:w="657" w:type="dxa"/>
            <w:tcBorders>
              <w:bottom w:val="single" w:sz="4" w:space="0" w:color="auto"/>
            </w:tcBorders>
            <w:vAlign w:val="center"/>
          </w:tcPr>
          <w:p w14:paraId="3F392DF1" w14:textId="136AB35B" w:rsidR="00372002" w:rsidRPr="00F77189" w:rsidRDefault="00372002" w:rsidP="003F1854">
            <w:pPr>
              <w:contextualSpacing/>
              <w:jc w:val="center"/>
            </w:pPr>
            <w:r w:rsidRPr="00250CAA">
              <w:t>1/</w:t>
            </w:r>
            <w:r w:rsidR="00F63B67">
              <w:t>10</w:t>
            </w:r>
          </w:p>
        </w:tc>
        <w:tc>
          <w:tcPr>
            <w:tcW w:w="797" w:type="dxa"/>
            <w:tcBorders>
              <w:bottom w:val="single" w:sz="4" w:space="0" w:color="auto"/>
            </w:tcBorders>
            <w:vAlign w:val="center"/>
          </w:tcPr>
          <w:p w14:paraId="0FA45BA2" w14:textId="1800946C" w:rsidR="00372002" w:rsidRPr="00F77189" w:rsidRDefault="00372002" w:rsidP="003F1854">
            <w:pPr>
              <w:contextualSpacing/>
              <w:jc w:val="center"/>
            </w:pPr>
            <w:r w:rsidRPr="00250CAA">
              <w:t>2/</w:t>
            </w:r>
            <w:r w:rsidR="00F63B67">
              <w:t>14</w:t>
            </w:r>
          </w:p>
        </w:tc>
        <w:tc>
          <w:tcPr>
            <w:tcW w:w="738" w:type="dxa"/>
            <w:tcBorders>
              <w:bottom w:val="single" w:sz="4" w:space="0" w:color="auto"/>
            </w:tcBorders>
            <w:vAlign w:val="center"/>
          </w:tcPr>
          <w:p w14:paraId="2F5C0A9A" w14:textId="700CE43C" w:rsidR="00372002" w:rsidRPr="00F77189" w:rsidRDefault="00372002" w:rsidP="003F1854">
            <w:pPr>
              <w:contextualSpacing/>
              <w:jc w:val="center"/>
            </w:pPr>
            <w:r w:rsidRPr="00250CAA">
              <w:t>3/</w:t>
            </w:r>
            <w:r w:rsidR="00F63B67">
              <w:t>7</w:t>
            </w:r>
          </w:p>
        </w:tc>
        <w:tc>
          <w:tcPr>
            <w:tcW w:w="788" w:type="dxa"/>
            <w:tcBorders>
              <w:bottom w:val="single" w:sz="4" w:space="0" w:color="auto"/>
            </w:tcBorders>
            <w:vAlign w:val="center"/>
          </w:tcPr>
          <w:p w14:paraId="790F8AFC" w14:textId="4E766FAA" w:rsidR="00372002" w:rsidRPr="00F77189" w:rsidRDefault="00372002" w:rsidP="003F1854">
            <w:pPr>
              <w:contextualSpacing/>
              <w:jc w:val="center"/>
            </w:pPr>
            <w:r w:rsidRPr="00250CAA">
              <w:t>4/</w:t>
            </w:r>
            <w:r w:rsidR="00F63B67">
              <w:t>4</w:t>
            </w:r>
          </w:p>
        </w:tc>
        <w:tc>
          <w:tcPr>
            <w:tcW w:w="689" w:type="dxa"/>
            <w:tcBorders>
              <w:bottom w:val="single" w:sz="4" w:space="0" w:color="auto"/>
            </w:tcBorders>
          </w:tcPr>
          <w:p w14:paraId="6453EBF7" w14:textId="0DEFBF0A" w:rsidR="00372002" w:rsidRPr="00F77189" w:rsidRDefault="00372002" w:rsidP="003F1854">
            <w:pPr>
              <w:contextualSpacing/>
              <w:jc w:val="center"/>
            </w:pPr>
            <w:r w:rsidRPr="00F77189">
              <w:t>P</w:t>
            </w:r>
          </w:p>
        </w:tc>
        <w:tc>
          <w:tcPr>
            <w:tcW w:w="691" w:type="dxa"/>
            <w:tcBorders>
              <w:bottom w:val="single" w:sz="4" w:space="0" w:color="auto"/>
            </w:tcBorders>
            <w:vAlign w:val="center"/>
          </w:tcPr>
          <w:p w14:paraId="02905DD7" w14:textId="4014065A" w:rsidR="00372002" w:rsidRPr="00F77189" w:rsidRDefault="00372002" w:rsidP="003F1854">
            <w:pPr>
              <w:contextualSpacing/>
              <w:jc w:val="center"/>
            </w:pPr>
            <w:r w:rsidRPr="00F77189">
              <w:t>R</w:t>
            </w:r>
          </w:p>
        </w:tc>
        <w:tc>
          <w:tcPr>
            <w:tcW w:w="692" w:type="dxa"/>
            <w:tcBorders>
              <w:bottom w:val="single" w:sz="4" w:space="0" w:color="auto"/>
              <w:right w:val="double" w:sz="4" w:space="0" w:color="auto"/>
            </w:tcBorders>
            <w:vAlign w:val="center"/>
          </w:tcPr>
          <w:p w14:paraId="776CC54A" w14:textId="76F53766" w:rsidR="00372002" w:rsidRPr="00F77189" w:rsidRDefault="00372002" w:rsidP="003F1854">
            <w:pPr>
              <w:contextualSpacing/>
              <w:jc w:val="center"/>
            </w:pPr>
            <w:r w:rsidRPr="00F77189">
              <w:t>A</w:t>
            </w:r>
          </w:p>
        </w:tc>
      </w:tr>
      <w:tr w:rsidR="00AF7596" w:rsidRPr="00F77189" w14:paraId="1CFCFA78"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B28EC88" w14:textId="77777777" w:rsidR="00AF7596" w:rsidRPr="00250CAA" w:rsidRDefault="00AF7596" w:rsidP="003F1854">
            <w:pPr>
              <w:contextualSpacing/>
            </w:pPr>
            <w:r w:rsidRPr="00250CAA">
              <w:t>Alex Blazer</w:t>
            </w:r>
          </w:p>
          <w:p w14:paraId="4E1C8006" w14:textId="3C06CF4F" w:rsidR="00AF7596" w:rsidRPr="00F77189" w:rsidRDefault="00AF7596" w:rsidP="003F1854">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6C4BE27D" w:rsidR="00AF7596" w:rsidRPr="00F77189" w:rsidRDefault="00AF7596" w:rsidP="003F1854">
            <w:pPr>
              <w:contextualSpacing/>
              <w:jc w:val="center"/>
            </w:pPr>
            <w:r w:rsidRPr="00B968AC">
              <w:t>P</w:t>
            </w:r>
          </w:p>
        </w:tc>
        <w:tc>
          <w:tcPr>
            <w:tcW w:w="657" w:type="dxa"/>
            <w:tcBorders>
              <w:bottom w:val="single" w:sz="4" w:space="0" w:color="auto"/>
            </w:tcBorders>
            <w:shd w:val="clear" w:color="auto" w:fill="FFFFFF"/>
            <w:vAlign w:val="center"/>
          </w:tcPr>
          <w:p w14:paraId="597B0555" w14:textId="363CB89E" w:rsidR="00AF7596" w:rsidRPr="00F77189" w:rsidRDefault="00AF7596" w:rsidP="003F1854">
            <w:pPr>
              <w:contextualSpacing/>
              <w:jc w:val="center"/>
            </w:pPr>
            <w:r w:rsidRPr="00B968AC">
              <w:t>P</w:t>
            </w:r>
          </w:p>
        </w:tc>
        <w:tc>
          <w:tcPr>
            <w:tcW w:w="657" w:type="dxa"/>
            <w:tcBorders>
              <w:bottom w:val="single" w:sz="4" w:space="0" w:color="auto"/>
            </w:tcBorders>
            <w:shd w:val="clear" w:color="auto" w:fill="FFFFFF"/>
            <w:vAlign w:val="center"/>
          </w:tcPr>
          <w:p w14:paraId="5F886385" w14:textId="52834BC1" w:rsidR="00AF7596" w:rsidRPr="00F77189" w:rsidRDefault="00AF7596" w:rsidP="003F1854">
            <w:pPr>
              <w:contextualSpacing/>
              <w:jc w:val="center"/>
            </w:pPr>
            <w:r>
              <w:t>P</w:t>
            </w:r>
          </w:p>
        </w:tc>
        <w:tc>
          <w:tcPr>
            <w:tcW w:w="657" w:type="dxa"/>
            <w:tcBorders>
              <w:bottom w:val="single" w:sz="4" w:space="0" w:color="auto"/>
            </w:tcBorders>
            <w:shd w:val="clear" w:color="auto" w:fill="FFFFFF"/>
            <w:vAlign w:val="center"/>
          </w:tcPr>
          <w:p w14:paraId="0E5ED6C3" w14:textId="11FE1A76" w:rsidR="00AF7596" w:rsidRPr="00F77189" w:rsidRDefault="00AF7596" w:rsidP="003F1854">
            <w:pPr>
              <w:contextualSpacing/>
              <w:jc w:val="center"/>
            </w:pPr>
            <w:r>
              <w:t>P</w:t>
            </w:r>
          </w:p>
        </w:tc>
        <w:tc>
          <w:tcPr>
            <w:tcW w:w="797" w:type="dxa"/>
            <w:tcBorders>
              <w:bottom w:val="single" w:sz="4" w:space="0" w:color="auto"/>
            </w:tcBorders>
            <w:shd w:val="clear" w:color="auto" w:fill="FFFFFF"/>
            <w:vAlign w:val="center"/>
          </w:tcPr>
          <w:p w14:paraId="6761AA77" w14:textId="5C49D132" w:rsidR="00AF7596" w:rsidRPr="00F77189" w:rsidRDefault="00AF7596" w:rsidP="003F1854">
            <w:pPr>
              <w:contextualSpacing/>
              <w:jc w:val="center"/>
            </w:pPr>
            <w:r>
              <w:t>P</w:t>
            </w:r>
          </w:p>
        </w:tc>
        <w:tc>
          <w:tcPr>
            <w:tcW w:w="738" w:type="dxa"/>
            <w:shd w:val="clear" w:color="auto" w:fill="FFFFFF"/>
            <w:vAlign w:val="center"/>
          </w:tcPr>
          <w:p w14:paraId="28D576D7" w14:textId="16EB4B13" w:rsidR="00AF7596" w:rsidRPr="00F77189" w:rsidRDefault="00AF7596" w:rsidP="003F1854">
            <w:pPr>
              <w:contextualSpacing/>
              <w:jc w:val="center"/>
            </w:pPr>
            <w:r>
              <w:t>P</w:t>
            </w:r>
          </w:p>
        </w:tc>
        <w:tc>
          <w:tcPr>
            <w:tcW w:w="788" w:type="dxa"/>
            <w:shd w:val="clear" w:color="auto" w:fill="FFFFFF"/>
            <w:vAlign w:val="center"/>
          </w:tcPr>
          <w:p w14:paraId="203CE741" w14:textId="220E4574" w:rsidR="00AF7596" w:rsidRPr="00F77189" w:rsidRDefault="00AF7596" w:rsidP="003F1854">
            <w:pPr>
              <w:contextualSpacing/>
              <w:jc w:val="center"/>
            </w:pPr>
            <w:r>
              <w:t>P</w:t>
            </w:r>
          </w:p>
        </w:tc>
        <w:tc>
          <w:tcPr>
            <w:tcW w:w="689" w:type="dxa"/>
            <w:shd w:val="clear" w:color="auto" w:fill="FFFFFF"/>
            <w:vAlign w:val="center"/>
          </w:tcPr>
          <w:p w14:paraId="5B807796" w14:textId="1CB603BC" w:rsidR="00AF7596" w:rsidRPr="00F77189" w:rsidRDefault="00AF7596" w:rsidP="003F1854">
            <w:pPr>
              <w:contextualSpacing/>
              <w:jc w:val="center"/>
            </w:pPr>
            <w:r>
              <w:t>7</w:t>
            </w:r>
          </w:p>
        </w:tc>
        <w:tc>
          <w:tcPr>
            <w:tcW w:w="691" w:type="dxa"/>
            <w:shd w:val="clear" w:color="auto" w:fill="FFFFFF"/>
            <w:vAlign w:val="center"/>
          </w:tcPr>
          <w:p w14:paraId="6A78A090" w14:textId="50AF307A" w:rsidR="00AF7596" w:rsidRPr="00F77189" w:rsidRDefault="00AF7596" w:rsidP="003F1854">
            <w:pPr>
              <w:contextualSpacing/>
              <w:jc w:val="center"/>
            </w:pPr>
            <w:r w:rsidRPr="00B968AC">
              <w:t>0</w:t>
            </w:r>
          </w:p>
        </w:tc>
        <w:tc>
          <w:tcPr>
            <w:tcW w:w="692" w:type="dxa"/>
            <w:tcBorders>
              <w:right w:val="double" w:sz="4" w:space="0" w:color="auto"/>
            </w:tcBorders>
            <w:shd w:val="clear" w:color="auto" w:fill="FFFFFF"/>
            <w:vAlign w:val="center"/>
          </w:tcPr>
          <w:p w14:paraId="30B4A3CF" w14:textId="1639CBBF" w:rsidR="00AF7596" w:rsidRPr="00F77189" w:rsidRDefault="00AF7596" w:rsidP="003F1854">
            <w:pPr>
              <w:contextualSpacing/>
              <w:jc w:val="center"/>
            </w:pPr>
            <w:r w:rsidRPr="00B968AC">
              <w:t>0</w:t>
            </w:r>
          </w:p>
        </w:tc>
      </w:tr>
      <w:tr w:rsidR="00AF7596" w:rsidRPr="00F77189" w14:paraId="618F12FC"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right w:val="single" w:sz="4" w:space="0" w:color="auto"/>
            </w:tcBorders>
            <w:shd w:val="clear" w:color="auto" w:fill="FFFFFF"/>
            <w:vAlign w:val="center"/>
          </w:tcPr>
          <w:p w14:paraId="329B6EEB" w14:textId="77777777" w:rsidR="00AF7596" w:rsidRPr="00250CAA" w:rsidRDefault="00AF7596" w:rsidP="003F1854">
            <w:pPr>
              <w:contextualSpacing/>
            </w:pPr>
            <w:r w:rsidRPr="00250CAA">
              <w:t>Cathy Cox</w:t>
            </w:r>
          </w:p>
          <w:p w14:paraId="100E04F7" w14:textId="0FFAFD79" w:rsidR="00AF7596" w:rsidRPr="00F77189" w:rsidRDefault="00AF7596" w:rsidP="003F1854">
            <w:pPr>
              <w:contextualSpacing/>
              <w:rPr>
                <w:i/>
              </w:rPr>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ADAC51A" w:rsidR="00AF7596" w:rsidRPr="00F77189" w:rsidRDefault="00AF7596" w:rsidP="003F1854">
            <w:pPr>
              <w:contextualSpacing/>
              <w:jc w:val="center"/>
            </w:pPr>
            <w:r w:rsidRPr="00B968AC">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25C84E7D" w:rsidR="00AF7596" w:rsidRPr="00F77189" w:rsidRDefault="00AF7596" w:rsidP="003F1854">
            <w:pPr>
              <w:contextualSpacing/>
              <w:jc w:val="center"/>
            </w:pPr>
            <w:r w:rsidRPr="00B968AC">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077D54C" w:rsidR="00AF7596" w:rsidRPr="00F77189" w:rsidRDefault="00AF7596" w:rsidP="003F1854">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603E8DD0" w:rsidR="00AF7596" w:rsidRPr="00F77189" w:rsidRDefault="00AF7596" w:rsidP="003F1854">
            <w:pPr>
              <w:contextualSpacing/>
              <w:jc w:val="center"/>
            </w:pPr>
            <w:r>
              <w:t>R</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AD35029" w:rsidR="00AF7596" w:rsidRPr="00F77189" w:rsidRDefault="00AF7596" w:rsidP="003F1854">
            <w:pPr>
              <w:contextualSpacing/>
              <w:jc w:val="center"/>
            </w:pPr>
            <w:r>
              <w:t>R</w:t>
            </w:r>
          </w:p>
        </w:tc>
        <w:tc>
          <w:tcPr>
            <w:tcW w:w="738" w:type="dxa"/>
            <w:tcBorders>
              <w:left w:val="single" w:sz="4" w:space="0" w:color="auto"/>
            </w:tcBorders>
            <w:shd w:val="clear" w:color="auto" w:fill="FFFFFF"/>
            <w:vAlign w:val="center"/>
          </w:tcPr>
          <w:p w14:paraId="0DBDC69E" w14:textId="77B70870" w:rsidR="00AF7596" w:rsidRPr="00F77189" w:rsidRDefault="00AF7596" w:rsidP="003F1854">
            <w:pPr>
              <w:contextualSpacing/>
              <w:jc w:val="center"/>
            </w:pPr>
            <w:r>
              <w:t>R</w:t>
            </w:r>
          </w:p>
        </w:tc>
        <w:tc>
          <w:tcPr>
            <w:tcW w:w="788" w:type="dxa"/>
            <w:shd w:val="clear" w:color="auto" w:fill="FFFFFF"/>
            <w:vAlign w:val="center"/>
          </w:tcPr>
          <w:p w14:paraId="447954C2" w14:textId="188B3109" w:rsidR="00AF7596" w:rsidRPr="00F77189" w:rsidRDefault="00AF7596" w:rsidP="003F1854">
            <w:pPr>
              <w:contextualSpacing/>
              <w:jc w:val="center"/>
            </w:pPr>
            <w:r>
              <w:t>R</w:t>
            </w:r>
          </w:p>
        </w:tc>
        <w:tc>
          <w:tcPr>
            <w:tcW w:w="689" w:type="dxa"/>
            <w:shd w:val="clear" w:color="auto" w:fill="FFFFFF"/>
            <w:vAlign w:val="center"/>
          </w:tcPr>
          <w:p w14:paraId="7DB55EE4" w14:textId="75992BD0" w:rsidR="00AF7596" w:rsidRPr="00F77189" w:rsidRDefault="00AF7596" w:rsidP="003F1854">
            <w:pPr>
              <w:contextualSpacing/>
              <w:jc w:val="center"/>
            </w:pPr>
            <w:r w:rsidRPr="00B968AC">
              <w:t>0</w:t>
            </w:r>
          </w:p>
        </w:tc>
        <w:tc>
          <w:tcPr>
            <w:tcW w:w="691" w:type="dxa"/>
            <w:shd w:val="clear" w:color="auto" w:fill="FFFFFF"/>
            <w:vAlign w:val="center"/>
          </w:tcPr>
          <w:p w14:paraId="32065334" w14:textId="328D57FB" w:rsidR="00AF7596" w:rsidRPr="00F77189" w:rsidRDefault="00AF7596" w:rsidP="003F1854">
            <w:pPr>
              <w:contextualSpacing/>
              <w:jc w:val="center"/>
            </w:pPr>
            <w:r>
              <w:t>7</w:t>
            </w:r>
          </w:p>
        </w:tc>
        <w:tc>
          <w:tcPr>
            <w:tcW w:w="692" w:type="dxa"/>
            <w:tcBorders>
              <w:right w:val="double" w:sz="4" w:space="0" w:color="auto"/>
            </w:tcBorders>
            <w:shd w:val="clear" w:color="auto" w:fill="FFFFFF"/>
            <w:vAlign w:val="center"/>
          </w:tcPr>
          <w:p w14:paraId="37B2CDD4" w14:textId="1757AE27" w:rsidR="00AF7596" w:rsidRPr="00F77189" w:rsidRDefault="00AF7596" w:rsidP="003F1854">
            <w:pPr>
              <w:contextualSpacing/>
              <w:jc w:val="center"/>
            </w:pPr>
            <w:r w:rsidRPr="00B968AC">
              <w:t>0</w:t>
            </w:r>
          </w:p>
        </w:tc>
      </w:tr>
      <w:tr w:rsidR="00AF7596" w:rsidRPr="00F77189" w14:paraId="6F2D1339"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4E570B1" w14:textId="77777777" w:rsidR="00AF7596" w:rsidRDefault="00AF7596" w:rsidP="003F1854">
            <w:pPr>
              <w:contextualSpacing/>
            </w:pPr>
            <w:r>
              <w:t xml:space="preserve">Nicholas Creel </w:t>
            </w:r>
          </w:p>
          <w:p w14:paraId="4120EE33" w14:textId="77777777" w:rsidR="00AF7596" w:rsidRDefault="00AF7596" w:rsidP="003F1854">
            <w:pPr>
              <w:contextualSpacing/>
              <w:rPr>
                <w:i/>
              </w:rPr>
            </w:pPr>
            <w:r w:rsidRPr="00250CAA">
              <w:rPr>
                <w:i/>
              </w:rPr>
              <w:t xml:space="preserve">EFS, </w:t>
            </w:r>
            <w:proofErr w:type="spellStart"/>
            <w:r w:rsidRPr="00250CAA">
              <w:rPr>
                <w:i/>
              </w:rPr>
              <w:t>Co</w:t>
            </w:r>
            <w:r>
              <w:rPr>
                <w:i/>
              </w:rPr>
              <w:t>BT</w:t>
            </w:r>
            <w:proofErr w:type="spellEnd"/>
          </w:p>
          <w:p w14:paraId="274F13EF" w14:textId="275EE156" w:rsidR="00AF7596" w:rsidRPr="00F77189" w:rsidRDefault="00AF7596" w:rsidP="003F1854">
            <w:pPr>
              <w:contextualSpacing/>
              <w:rPr>
                <w:i/>
              </w:rPr>
            </w:pPr>
            <w:r w:rsidRPr="00250CAA">
              <w:rPr>
                <w:i/>
              </w:rPr>
              <w:t xml:space="preserve">ECUS </w:t>
            </w:r>
            <w:r>
              <w:rPr>
                <w:i/>
              </w:rPr>
              <w:t>Chair</w:t>
            </w:r>
          </w:p>
        </w:tc>
        <w:tc>
          <w:tcPr>
            <w:tcW w:w="537" w:type="dxa"/>
            <w:tcBorders>
              <w:top w:val="single" w:sz="4" w:space="0" w:color="auto"/>
            </w:tcBorders>
            <w:shd w:val="clear" w:color="auto" w:fill="FFFFFF"/>
            <w:vAlign w:val="center"/>
          </w:tcPr>
          <w:p w14:paraId="1FBC6DB3" w14:textId="7DF76CAA" w:rsidR="00AF7596" w:rsidRPr="00F77189" w:rsidRDefault="00AF7596" w:rsidP="003F1854">
            <w:pPr>
              <w:contextualSpacing/>
              <w:jc w:val="center"/>
            </w:pPr>
            <w:r w:rsidRPr="00B968AC">
              <w:t>P</w:t>
            </w:r>
          </w:p>
        </w:tc>
        <w:tc>
          <w:tcPr>
            <w:tcW w:w="657" w:type="dxa"/>
            <w:tcBorders>
              <w:top w:val="single" w:sz="4" w:space="0" w:color="auto"/>
            </w:tcBorders>
            <w:shd w:val="clear" w:color="auto" w:fill="FFFFFF"/>
            <w:vAlign w:val="center"/>
          </w:tcPr>
          <w:p w14:paraId="1AC93682" w14:textId="1810C074" w:rsidR="00AF7596" w:rsidRPr="00F77189" w:rsidRDefault="00AF7596" w:rsidP="003F1854">
            <w:pPr>
              <w:contextualSpacing/>
              <w:jc w:val="center"/>
            </w:pPr>
            <w:r w:rsidRPr="00B968AC">
              <w:t>P</w:t>
            </w:r>
          </w:p>
        </w:tc>
        <w:tc>
          <w:tcPr>
            <w:tcW w:w="657" w:type="dxa"/>
            <w:tcBorders>
              <w:top w:val="single" w:sz="4" w:space="0" w:color="auto"/>
            </w:tcBorders>
            <w:shd w:val="clear" w:color="auto" w:fill="FFFFFF"/>
            <w:vAlign w:val="center"/>
          </w:tcPr>
          <w:p w14:paraId="343CE1D5" w14:textId="55B3DE02" w:rsidR="00AF7596" w:rsidRPr="00F77189" w:rsidRDefault="00AF7596" w:rsidP="003F1854">
            <w:pPr>
              <w:contextualSpacing/>
              <w:jc w:val="center"/>
            </w:pPr>
            <w:r>
              <w:t>P</w:t>
            </w:r>
          </w:p>
        </w:tc>
        <w:tc>
          <w:tcPr>
            <w:tcW w:w="657" w:type="dxa"/>
            <w:tcBorders>
              <w:top w:val="single" w:sz="4" w:space="0" w:color="auto"/>
            </w:tcBorders>
            <w:shd w:val="clear" w:color="auto" w:fill="FFFFFF"/>
            <w:vAlign w:val="center"/>
          </w:tcPr>
          <w:p w14:paraId="1EB08298" w14:textId="7058D195" w:rsidR="00AF7596" w:rsidRPr="00F77189" w:rsidRDefault="00AF7596" w:rsidP="003F1854">
            <w:pPr>
              <w:contextualSpacing/>
              <w:jc w:val="center"/>
            </w:pPr>
            <w:r>
              <w:t>P</w:t>
            </w:r>
          </w:p>
        </w:tc>
        <w:tc>
          <w:tcPr>
            <w:tcW w:w="797" w:type="dxa"/>
            <w:tcBorders>
              <w:top w:val="single" w:sz="4" w:space="0" w:color="auto"/>
            </w:tcBorders>
            <w:shd w:val="clear" w:color="auto" w:fill="FFFFFF"/>
            <w:vAlign w:val="center"/>
          </w:tcPr>
          <w:p w14:paraId="748ECF5E" w14:textId="1A6D3FAF" w:rsidR="00AF7596" w:rsidRPr="00F77189" w:rsidRDefault="00AF7596" w:rsidP="003F1854">
            <w:pPr>
              <w:contextualSpacing/>
              <w:jc w:val="center"/>
            </w:pPr>
            <w:r>
              <w:t>P</w:t>
            </w:r>
          </w:p>
        </w:tc>
        <w:tc>
          <w:tcPr>
            <w:tcW w:w="738" w:type="dxa"/>
            <w:shd w:val="clear" w:color="auto" w:fill="FFFFFF"/>
            <w:vAlign w:val="center"/>
          </w:tcPr>
          <w:p w14:paraId="25B6344C" w14:textId="6C30EE78" w:rsidR="00AF7596" w:rsidRPr="00F77189" w:rsidRDefault="00AF7596" w:rsidP="003F1854">
            <w:pPr>
              <w:contextualSpacing/>
              <w:jc w:val="center"/>
            </w:pPr>
            <w:r>
              <w:t>P</w:t>
            </w:r>
          </w:p>
        </w:tc>
        <w:tc>
          <w:tcPr>
            <w:tcW w:w="788" w:type="dxa"/>
            <w:shd w:val="clear" w:color="auto" w:fill="FFFFFF"/>
            <w:vAlign w:val="center"/>
          </w:tcPr>
          <w:p w14:paraId="5A0117DB" w14:textId="73751145" w:rsidR="00AF7596" w:rsidRPr="00F77189" w:rsidRDefault="00AF7596" w:rsidP="003F1854">
            <w:pPr>
              <w:contextualSpacing/>
              <w:jc w:val="center"/>
            </w:pPr>
            <w:r>
              <w:t>P</w:t>
            </w:r>
          </w:p>
        </w:tc>
        <w:tc>
          <w:tcPr>
            <w:tcW w:w="689" w:type="dxa"/>
            <w:shd w:val="clear" w:color="auto" w:fill="FFFFFF"/>
            <w:vAlign w:val="center"/>
          </w:tcPr>
          <w:p w14:paraId="76FD1B00" w14:textId="2CC7FEAE" w:rsidR="00AF7596" w:rsidRPr="00F77189" w:rsidRDefault="00AF7596" w:rsidP="003F1854">
            <w:pPr>
              <w:contextualSpacing/>
              <w:jc w:val="center"/>
            </w:pPr>
            <w:r>
              <w:t>7</w:t>
            </w:r>
          </w:p>
        </w:tc>
        <w:tc>
          <w:tcPr>
            <w:tcW w:w="691" w:type="dxa"/>
            <w:shd w:val="clear" w:color="auto" w:fill="FFFFFF"/>
            <w:vAlign w:val="center"/>
          </w:tcPr>
          <w:p w14:paraId="6701C529" w14:textId="5B18F41F" w:rsidR="00AF7596" w:rsidRPr="00F77189" w:rsidRDefault="00AF7596" w:rsidP="003F1854">
            <w:pPr>
              <w:contextualSpacing/>
              <w:jc w:val="center"/>
            </w:pPr>
            <w:r w:rsidRPr="00B968AC">
              <w:t>0</w:t>
            </w:r>
          </w:p>
        </w:tc>
        <w:tc>
          <w:tcPr>
            <w:tcW w:w="692" w:type="dxa"/>
            <w:tcBorders>
              <w:right w:val="double" w:sz="4" w:space="0" w:color="auto"/>
            </w:tcBorders>
            <w:shd w:val="clear" w:color="auto" w:fill="FFFFFF"/>
            <w:vAlign w:val="center"/>
          </w:tcPr>
          <w:p w14:paraId="49F5A0F7" w14:textId="0B4BA83A" w:rsidR="00AF7596" w:rsidRPr="00F77189" w:rsidRDefault="00AF7596" w:rsidP="003F1854">
            <w:pPr>
              <w:contextualSpacing/>
              <w:jc w:val="center"/>
            </w:pPr>
            <w:r w:rsidRPr="00B968AC">
              <w:t>0</w:t>
            </w:r>
          </w:p>
        </w:tc>
      </w:tr>
      <w:tr w:rsidR="00AF7596" w:rsidRPr="00F77189" w14:paraId="5F65508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33220685" w14:textId="77777777" w:rsidR="00AF7596" w:rsidRPr="00500EDC" w:rsidRDefault="00AF7596" w:rsidP="003F1854">
            <w:pPr>
              <w:contextualSpacing/>
            </w:pPr>
            <w:r w:rsidRPr="00500EDC">
              <w:t>Stephanie Jett</w:t>
            </w:r>
          </w:p>
          <w:p w14:paraId="3B60EC1E" w14:textId="77777777" w:rsidR="00AF7596" w:rsidRPr="00500EDC" w:rsidRDefault="00AF7596" w:rsidP="003F1854">
            <w:pPr>
              <w:contextualSpacing/>
              <w:rPr>
                <w:i/>
                <w:iCs/>
              </w:rPr>
            </w:pPr>
            <w:r w:rsidRPr="00500EDC">
              <w:rPr>
                <w:i/>
                <w:iCs/>
              </w:rPr>
              <w:t xml:space="preserve">EFS, </w:t>
            </w:r>
            <w:proofErr w:type="spellStart"/>
            <w:r w:rsidRPr="00500EDC">
              <w:rPr>
                <w:i/>
                <w:iCs/>
              </w:rPr>
              <w:t>CoAS</w:t>
            </w:r>
            <w:proofErr w:type="spellEnd"/>
          </w:p>
          <w:p w14:paraId="746B3EAE" w14:textId="104EFF89" w:rsidR="00AF7596" w:rsidRPr="00C52D72" w:rsidRDefault="00AF7596" w:rsidP="003F1854">
            <w:pPr>
              <w:contextualSpacing/>
            </w:pPr>
            <w:r>
              <w:rPr>
                <w:i/>
                <w:iCs/>
              </w:rPr>
              <w:t>ECUS Vice-Chair</w:t>
            </w:r>
          </w:p>
        </w:tc>
        <w:tc>
          <w:tcPr>
            <w:tcW w:w="537" w:type="dxa"/>
            <w:vAlign w:val="center"/>
          </w:tcPr>
          <w:p w14:paraId="515089D4" w14:textId="41ADECEE" w:rsidR="00AF7596" w:rsidRPr="00F77189" w:rsidRDefault="00AF7596" w:rsidP="003F1854">
            <w:pPr>
              <w:contextualSpacing/>
              <w:jc w:val="center"/>
            </w:pPr>
            <w:r w:rsidRPr="00B968AC">
              <w:t>P</w:t>
            </w:r>
          </w:p>
        </w:tc>
        <w:tc>
          <w:tcPr>
            <w:tcW w:w="657" w:type="dxa"/>
            <w:shd w:val="clear" w:color="auto" w:fill="FFFFFF"/>
            <w:vAlign w:val="center"/>
          </w:tcPr>
          <w:p w14:paraId="19C46428" w14:textId="48674F36" w:rsidR="00AF7596" w:rsidRPr="00F77189" w:rsidRDefault="00AF7596" w:rsidP="003F1854">
            <w:pPr>
              <w:contextualSpacing/>
              <w:jc w:val="center"/>
            </w:pPr>
            <w:r w:rsidRPr="00B968AC">
              <w:t>P</w:t>
            </w:r>
          </w:p>
        </w:tc>
        <w:tc>
          <w:tcPr>
            <w:tcW w:w="657" w:type="dxa"/>
            <w:shd w:val="clear" w:color="auto" w:fill="FFFFFF"/>
            <w:vAlign w:val="center"/>
          </w:tcPr>
          <w:p w14:paraId="1E4319B7" w14:textId="3E56A1E9" w:rsidR="00AF7596" w:rsidRPr="00F77189" w:rsidRDefault="00AF7596" w:rsidP="003F1854">
            <w:pPr>
              <w:contextualSpacing/>
              <w:jc w:val="center"/>
            </w:pPr>
            <w:r>
              <w:t>P</w:t>
            </w:r>
          </w:p>
        </w:tc>
        <w:tc>
          <w:tcPr>
            <w:tcW w:w="657" w:type="dxa"/>
            <w:shd w:val="clear" w:color="auto" w:fill="FFFFFF"/>
            <w:vAlign w:val="center"/>
          </w:tcPr>
          <w:p w14:paraId="0F3E4A64" w14:textId="1C8E3293" w:rsidR="00AF7596" w:rsidRPr="00F77189" w:rsidRDefault="00AF7596" w:rsidP="003F1854">
            <w:pPr>
              <w:contextualSpacing/>
              <w:jc w:val="center"/>
            </w:pPr>
            <w:r>
              <w:t>P</w:t>
            </w:r>
          </w:p>
        </w:tc>
        <w:tc>
          <w:tcPr>
            <w:tcW w:w="797" w:type="dxa"/>
            <w:shd w:val="clear" w:color="auto" w:fill="FFFFFF"/>
            <w:vAlign w:val="center"/>
          </w:tcPr>
          <w:p w14:paraId="63B887B0" w14:textId="1636FD75" w:rsidR="00AF7596" w:rsidRPr="00F77189" w:rsidRDefault="00AF7596" w:rsidP="003F1854">
            <w:pPr>
              <w:contextualSpacing/>
              <w:jc w:val="center"/>
            </w:pPr>
            <w:r>
              <w:t>P</w:t>
            </w:r>
          </w:p>
        </w:tc>
        <w:tc>
          <w:tcPr>
            <w:tcW w:w="738" w:type="dxa"/>
            <w:tcBorders>
              <w:bottom w:val="single" w:sz="4" w:space="0" w:color="auto"/>
            </w:tcBorders>
            <w:shd w:val="clear" w:color="auto" w:fill="FFFFFF"/>
            <w:vAlign w:val="center"/>
          </w:tcPr>
          <w:p w14:paraId="393A4EF8" w14:textId="56A632FD" w:rsidR="00AF7596" w:rsidRPr="00F77189" w:rsidRDefault="00AF7596" w:rsidP="003F1854">
            <w:pPr>
              <w:contextualSpacing/>
              <w:jc w:val="center"/>
            </w:pPr>
            <w:r>
              <w:t>R</w:t>
            </w:r>
          </w:p>
        </w:tc>
        <w:tc>
          <w:tcPr>
            <w:tcW w:w="788" w:type="dxa"/>
            <w:tcBorders>
              <w:bottom w:val="single" w:sz="4" w:space="0" w:color="auto"/>
            </w:tcBorders>
            <w:shd w:val="clear" w:color="auto" w:fill="FFFFFF"/>
            <w:vAlign w:val="center"/>
          </w:tcPr>
          <w:p w14:paraId="0CF44661" w14:textId="0F8223C5" w:rsidR="00AF7596" w:rsidRPr="00F77189" w:rsidRDefault="00AF7596" w:rsidP="003F1854">
            <w:pPr>
              <w:contextualSpacing/>
              <w:jc w:val="center"/>
            </w:pPr>
            <w:r>
              <w:t>P</w:t>
            </w:r>
          </w:p>
        </w:tc>
        <w:tc>
          <w:tcPr>
            <w:tcW w:w="689" w:type="dxa"/>
            <w:tcBorders>
              <w:bottom w:val="single" w:sz="4" w:space="0" w:color="auto"/>
            </w:tcBorders>
            <w:shd w:val="clear" w:color="auto" w:fill="FFFFFF"/>
            <w:vAlign w:val="center"/>
          </w:tcPr>
          <w:p w14:paraId="123CB941" w14:textId="1A55D963" w:rsidR="00AF7596" w:rsidRPr="00F77189" w:rsidRDefault="00AF7596" w:rsidP="003F1854">
            <w:pPr>
              <w:contextualSpacing/>
              <w:jc w:val="center"/>
            </w:pPr>
            <w:r>
              <w:t>6</w:t>
            </w:r>
          </w:p>
        </w:tc>
        <w:tc>
          <w:tcPr>
            <w:tcW w:w="691" w:type="dxa"/>
            <w:tcBorders>
              <w:bottom w:val="single" w:sz="4" w:space="0" w:color="auto"/>
            </w:tcBorders>
            <w:shd w:val="clear" w:color="auto" w:fill="FFFFFF"/>
            <w:vAlign w:val="center"/>
          </w:tcPr>
          <w:p w14:paraId="3E9BA710" w14:textId="041E980A" w:rsidR="00AF7596" w:rsidRPr="00F77189" w:rsidRDefault="00AF7596" w:rsidP="003F1854">
            <w:pPr>
              <w:contextualSpacing/>
              <w:jc w:val="center"/>
            </w:pPr>
            <w:r>
              <w:t>1</w:t>
            </w:r>
          </w:p>
        </w:tc>
        <w:tc>
          <w:tcPr>
            <w:tcW w:w="692" w:type="dxa"/>
            <w:tcBorders>
              <w:bottom w:val="single" w:sz="4" w:space="0" w:color="auto"/>
              <w:right w:val="double" w:sz="4" w:space="0" w:color="auto"/>
            </w:tcBorders>
            <w:shd w:val="clear" w:color="auto" w:fill="FFFFFF"/>
            <w:vAlign w:val="center"/>
          </w:tcPr>
          <w:p w14:paraId="7464F058" w14:textId="42ADB162" w:rsidR="00AF7596" w:rsidRPr="00F77189" w:rsidRDefault="00AF7596" w:rsidP="003F1854">
            <w:pPr>
              <w:contextualSpacing/>
              <w:jc w:val="center"/>
            </w:pPr>
            <w:r w:rsidRPr="00B968AC">
              <w:t>0</w:t>
            </w:r>
          </w:p>
        </w:tc>
      </w:tr>
      <w:tr w:rsidR="00AF7596" w:rsidRPr="00F77189" w14:paraId="6AD482CB"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E734AE1" w14:textId="77777777" w:rsidR="00AF7596" w:rsidRPr="00500EDC" w:rsidRDefault="00AF7596" w:rsidP="003F1854">
            <w:pPr>
              <w:contextualSpacing/>
            </w:pPr>
            <w:r w:rsidRPr="00500EDC">
              <w:t>Joyce Norris-Taylor</w:t>
            </w:r>
          </w:p>
          <w:p w14:paraId="180C76E0" w14:textId="77777777" w:rsidR="00AF7596" w:rsidRDefault="00AF7596" w:rsidP="003F1854">
            <w:pPr>
              <w:contextualSpacing/>
              <w:rPr>
                <w:i/>
                <w:iCs/>
              </w:rPr>
            </w:pPr>
            <w:r>
              <w:rPr>
                <w:i/>
                <w:iCs/>
              </w:rPr>
              <w:t xml:space="preserve">EFS, </w:t>
            </w:r>
            <w:proofErr w:type="spellStart"/>
            <w:r>
              <w:rPr>
                <w:i/>
                <w:iCs/>
              </w:rPr>
              <w:t>CoHS</w:t>
            </w:r>
            <w:proofErr w:type="spellEnd"/>
          </w:p>
          <w:p w14:paraId="2952407B" w14:textId="313940C0" w:rsidR="00AF7596" w:rsidRPr="00F77189" w:rsidRDefault="00AF7596" w:rsidP="003F1854">
            <w:pPr>
              <w:contextualSpacing/>
            </w:pPr>
            <w:r>
              <w:rPr>
                <w:i/>
                <w:iCs/>
              </w:rPr>
              <w:t>ECUS Member</w:t>
            </w:r>
          </w:p>
        </w:tc>
        <w:tc>
          <w:tcPr>
            <w:tcW w:w="537" w:type="dxa"/>
            <w:vAlign w:val="center"/>
          </w:tcPr>
          <w:p w14:paraId="53807138" w14:textId="7C75C343" w:rsidR="00AF7596" w:rsidRPr="00F77189" w:rsidRDefault="00AF7596" w:rsidP="003F1854">
            <w:pPr>
              <w:contextualSpacing/>
              <w:jc w:val="center"/>
            </w:pPr>
            <w:r w:rsidRPr="00B968AC">
              <w:t>P</w:t>
            </w:r>
          </w:p>
        </w:tc>
        <w:tc>
          <w:tcPr>
            <w:tcW w:w="657" w:type="dxa"/>
            <w:shd w:val="clear" w:color="auto" w:fill="FFFFFF"/>
            <w:vAlign w:val="center"/>
          </w:tcPr>
          <w:p w14:paraId="01845693" w14:textId="4CD0E669" w:rsidR="00AF7596" w:rsidRPr="00F77189" w:rsidRDefault="00AF7596" w:rsidP="003F1854">
            <w:pPr>
              <w:contextualSpacing/>
              <w:jc w:val="center"/>
            </w:pPr>
            <w:r w:rsidRPr="00B968AC">
              <w:t>P</w:t>
            </w:r>
          </w:p>
        </w:tc>
        <w:tc>
          <w:tcPr>
            <w:tcW w:w="657" w:type="dxa"/>
            <w:shd w:val="clear" w:color="auto" w:fill="FFFFFF"/>
            <w:vAlign w:val="center"/>
          </w:tcPr>
          <w:p w14:paraId="4CFA0817" w14:textId="05243AC4" w:rsidR="00AF7596" w:rsidRPr="00F77189" w:rsidRDefault="00AF7596" w:rsidP="003F1854">
            <w:pPr>
              <w:contextualSpacing/>
              <w:jc w:val="center"/>
            </w:pPr>
            <w:r>
              <w:t>P</w:t>
            </w:r>
          </w:p>
        </w:tc>
        <w:tc>
          <w:tcPr>
            <w:tcW w:w="657" w:type="dxa"/>
            <w:shd w:val="clear" w:color="auto" w:fill="FFFFFF"/>
            <w:vAlign w:val="center"/>
          </w:tcPr>
          <w:p w14:paraId="2F152729" w14:textId="59EF24E7" w:rsidR="00AF7596" w:rsidRPr="00F77189" w:rsidRDefault="00AF7596" w:rsidP="003F1854">
            <w:pPr>
              <w:contextualSpacing/>
              <w:jc w:val="center"/>
            </w:pPr>
            <w:r>
              <w:t>P</w:t>
            </w:r>
          </w:p>
        </w:tc>
        <w:tc>
          <w:tcPr>
            <w:tcW w:w="797" w:type="dxa"/>
            <w:shd w:val="clear" w:color="auto" w:fill="FFFFFF"/>
            <w:vAlign w:val="center"/>
          </w:tcPr>
          <w:p w14:paraId="598C15CD" w14:textId="4667987F" w:rsidR="00AF7596" w:rsidRPr="00F77189" w:rsidRDefault="00AF7596" w:rsidP="003F1854">
            <w:pPr>
              <w:contextualSpacing/>
              <w:jc w:val="center"/>
            </w:pPr>
            <w:r>
              <w:t>P</w:t>
            </w:r>
          </w:p>
        </w:tc>
        <w:tc>
          <w:tcPr>
            <w:tcW w:w="738" w:type="dxa"/>
            <w:tcBorders>
              <w:bottom w:val="single" w:sz="4" w:space="0" w:color="auto"/>
            </w:tcBorders>
            <w:shd w:val="clear" w:color="auto" w:fill="FFFFFF"/>
            <w:vAlign w:val="center"/>
          </w:tcPr>
          <w:p w14:paraId="6E2D455E" w14:textId="0F520D2B" w:rsidR="00AF7596" w:rsidRPr="00F77189" w:rsidRDefault="00AF7596" w:rsidP="003F1854">
            <w:pPr>
              <w:contextualSpacing/>
              <w:jc w:val="center"/>
            </w:pPr>
            <w:r>
              <w:t>P</w:t>
            </w:r>
          </w:p>
        </w:tc>
        <w:tc>
          <w:tcPr>
            <w:tcW w:w="788" w:type="dxa"/>
            <w:tcBorders>
              <w:bottom w:val="single" w:sz="4" w:space="0" w:color="auto"/>
            </w:tcBorders>
            <w:shd w:val="clear" w:color="auto" w:fill="FFFFFF"/>
            <w:vAlign w:val="center"/>
          </w:tcPr>
          <w:p w14:paraId="59CB1691" w14:textId="24BB7321" w:rsidR="00AF7596" w:rsidRPr="00F77189" w:rsidRDefault="00AF7596" w:rsidP="003F1854">
            <w:pPr>
              <w:contextualSpacing/>
              <w:jc w:val="center"/>
            </w:pPr>
            <w:r>
              <w:t>P</w:t>
            </w:r>
          </w:p>
        </w:tc>
        <w:tc>
          <w:tcPr>
            <w:tcW w:w="689" w:type="dxa"/>
            <w:tcBorders>
              <w:bottom w:val="single" w:sz="4" w:space="0" w:color="auto"/>
            </w:tcBorders>
            <w:shd w:val="clear" w:color="auto" w:fill="FFFFFF"/>
            <w:vAlign w:val="center"/>
          </w:tcPr>
          <w:p w14:paraId="5F2D9669" w14:textId="18619429" w:rsidR="00AF7596" w:rsidRPr="00F77189" w:rsidRDefault="00AF7596" w:rsidP="003F1854">
            <w:pPr>
              <w:contextualSpacing/>
              <w:jc w:val="center"/>
            </w:pPr>
            <w:r>
              <w:t>7</w:t>
            </w:r>
          </w:p>
        </w:tc>
        <w:tc>
          <w:tcPr>
            <w:tcW w:w="691" w:type="dxa"/>
            <w:tcBorders>
              <w:bottom w:val="single" w:sz="4" w:space="0" w:color="auto"/>
            </w:tcBorders>
            <w:shd w:val="clear" w:color="auto" w:fill="FFFFFF"/>
            <w:vAlign w:val="center"/>
          </w:tcPr>
          <w:p w14:paraId="72F01CE6" w14:textId="699F3DB3" w:rsidR="00AF7596" w:rsidRPr="00F77189" w:rsidRDefault="00AF7596" w:rsidP="003F1854">
            <w:pPr>
              <w:contextualSpacing/>
              <w:jc w:val="center"/>
            </w:pPr>
            <w:r w:rsidRPr="00B968AC">
              <w:t>0</w:t>
            </w:r>
          </w:p>
        </w:tc>
        <w:tc>
          <w:tcPr>
            <w:tcW w:w="692" w:type="dxa"/>
            <w:tcBorders>
              <w:bottom w:val="single" w:sz="4" w:space="0" w:color="auto"/>
              <w:right w:val="double" w:sz="4" w:space="0" w:color="auto"/>
            </w:tcBorders>
            <w:shd w:val="clear" w:color="auto" w:fill="FFFFFF"/>
            <w:vAlign w:val="center"/>
          </w:tcPr>
          <w:p w14:paraId="00918CD5" w14:textId="5FF8573F" w:rsidR="00AF7596" w:rsidRPr="00F77189" w:rsidRDefault="00AF7596" w:rsidP="003F1854">
            <w:pPr>
              <w:contextualSpacing/>
              <w:jc w:val="center"/>
            </w:pPr>
            <w:r w:rsidRPr="00B968AC">
              <w:t>0</w:t>
            </w:r>
          </w:p>
        </w:tc>
      </w:tr>
      <w:tr w:rsidR="00AF7596" w:rsidRPr="00F77189" w14:paraId="3AB04896"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5E748B38" w14:textId="77777777" w:rsidR="00AF7596" w:rsidRPr="00250CAA" w:rsidRDefault="00AF7596" w:rsidP="003F1854">
            <w:pPr>
              <w:contextualSpacing/>
            </w:pPr>
            <w:r>
              <w:t>Holley Roberts</w:t>
            </w:r>
          </w:p>
          <w:p w14:paraId="7BEC73BE" w14:textId="380DDE74" w:rsidR="00AF7596" w:rsidRPr="00F77189" w:rsidRDefault="00AF7596" w:rsidP="003F1854">
            <w:pPr>
              <w:contextualSpacing/>
            </w:pPr>
            <w:r w:rsidRPr="00250CAA">
              <w:rPr>
                <w:i/>
              </w:rPr>
              <w:t>Provost</w:t>
            </w:r>
          </w:p>
        </w:tc>
        <w:tc>
          <w:tcPr>
            <w:tcW w:w="537" w:type="dxa"/>
            <w:shd w:val="clear" w:color="auto" w:fill="FFFFFF"/>
            <w:vAlign w:val="center"/>
          </w:tcPr>
          <w:p w14:paraId="392139EF" w14:textId="071BCC54" w:rsidR="00AF7596" w:rsidRPr="00F77189" w:rsidRDefault="00AF7596" w:rsidP="003F1854">
            <w:pPr>
              <w:contextualSpacing/>
              <w:jc w:val="center"/>
            </w:pPr>
            <w:r w:rsidRPr="00B968AC">
              <w:t>P</w:t>
            </w:r>
          </w:p>
        </w:tc>
        <w:tc>
          <w:tcPr>
            <w:tcW w:w="657" w:type="dxa"/>
            <w:shd w:val="clear" w:color="auto" w:fill="FFFFFF"/>
            <w:vAlign w:val="center"/>
          </w:tcPr>
          <w:p w14:paraId="4AB84DAE" w14:textId="507A713B" w:rsidR="00AF7596" w:rsidRPr="00F77189" w:rsidRDefault="00AF7596" w:rsidP="003F1854">
            <w:pPr>
              <w:contextualSpacing/>
              <w:jc w:val="center"/>
            </w:pPr>
            <w:r w:rsidRPr="00B968AC">
              <w:t>P</w:t>
            </w:r>
          </w:p>
        </w:tc>
        <w:tc>
          <w:tcPr>
            <w:tcW w:w="657" w:type="dxa"/>
            <w:shd w:val="clear" w:color="auto" w:fill="FFFFFF"/>
            <w:vAlign w:val="center"/>
          </w:tcPr>
          <w:p w14:paraId="1B88ED78" w14:textId="0456BF8D" w:rsidR="00AF7596" w:rsidRPr="00F77189" w:rsidRDefault="00AF7596" w:rsidP="003F1854">
            <w:pPr>
              <w:contextualSpacing/>
              <w:jc w:val="center"/>
            </w:pPr>
            <w:r>
              <w:t>R</w:t>
            </w:r>
          </w:p>
        </w:tc>
        <w:tc>
          <w:tcPr>
            <w:tcW w:w="657" w:type="dxa"/>
            <w:shd w:val="clear" w:color="auto" w:fill="FFFFFF"/>
            <w:vAlign w:val="center"/>
          </w:tcPr>
          <w:p w14:paraId="6F0AE597" w14:textId="0EFF32E8" w:rsidR="00AF7596" w:rsidRPr="00F77189" w:rsidRDefault="00AF7596" w:rsidP="003F1854">
            <w:pPr>
              <w:contextualSpacing/>
              <w:jc w:val="center"/>
            </w:pPr>
            <w:r>
              <w:t>P</w:t>
            </w:r>
          </w:p>
        </w:tc>
        <w:tc>
          <w:tcPr>
            <w:tcW w:w="797" w:type="dxa"/>
            <w:shd w:val="clear" w:color="auto" w:fill="FFFFFF"/>
            <w:vAlign w:val="center"/>
          </w:tcPr>
          <w:p w14:paraId="1016B942" w14:textId="6F50A7F9" w:rsidR="00AF7596" w:rsidRPr="00F77189" w:rsidRDefault="00AF7596" w:rsidP="003F1854">
            <w:pPr>
              <w:contextualSpacing/>
              <w:jc w:val="center"/>
            </w:pPr>
            <w:r>
              <w:t>P</w:t>
            </w:r>
          </w:p>
        </w:tc>
        <w:tc>
          <w:tcPr>
            <w:tcW w:w="738" w:type="dxa"/>
            <w:shd w:val="clear" w:color="auto" w:fill="FFFFFF"/>
            <w:vAlign w:val="center"/>
          </w:tcPr>
          <w:p w14:paraId="52CDE5ED" w14:textId="0448F66B" w:rsidR="00AF7596" w:rsidRPr="00F77189" w:rsidRDefault="00AF7596" w:rsidP="003F1854">
            <w:pPr>
              <w:contextualSpacing/>
              <w:jc w:val="center"/>
            </w:pPr>
            <w:r>
              <w:t>R</w:t>
            </w:r>
          </w:p>
        </w:tc>
        <w:tc>
          <w:tcPr>
            <w:tcW w:w="788" w:type="dxa"/>
            <w:shd w:val="clear" w:color="auto" w:fill="FFFFFF"/>
            <w:vAlign w:val="center"/>
          </w:tcPr>
          <w:p w14:paraId="3FFAA3D8" w14:textId="727DB8D7" w:rsidR="00AF7596" w:rsidRPr="00F77189" w:rsidRDefault="00AF7596" w:rsidP="003F1854">
            <w:pPr>
              <w:contextualSpacing/>
              <w:jc w:val="center"/>
            </w:pPr>
            <w:r>
              <w:t>P</w:t>
            </w:r>
          </w:p>
        </w:tc>
        <w:tc>
          <w:tcPr>
            <w:tcW w:w="689" w:type="dxa"/>
            <w:shd w:val="clear" w:color="auto" w:fill="FFFFFF"/>
            <w:vAlign w:val="center"/>
          </w:tcPr>
          <w:p w14:paraId="0D6C5AC8" w14:textId="2D4CA511" w:rsidR="00AF7596" w:rsidRPr="00F77189" w:rsidRDefault="00AF7596" w:rsidP="003F1854">
            <w:pPr>
              <w:contextualSpacing/>
              <w:jc w:val="center"/>
            </w:pPr>
            <w:r>
              <w:t>5</w:t>
            </w:r>
          </w:p>
        </w:tc>
        <w:tc>
          <w:tcPr>
            <w:tcW w:w="691" w:type="dxa"/>
            <w:shd w:val="clear" w:color="auto" w:fill="FFFFFF"/>
            <w:vAlign w:val="center"/>
          </w:tcPr>
          <w:p w14:paraId="10E35ECF" w14:textId="521C2F1E" w:rsidR="00AF7596" w:rsidRPr="00F77189" w:rsidRDefault="00AF7596" w:rsidP="003F1854">
            <w:pPr>
              <w:contextualSpacing/>
              <w:jc w:val="center"/>
            </w:pPr>
            <w:r>
              <w:t>2</w:t>
            </w:r>
          </w:p>
        </w:tc>
        <w:tc>
          <w:tcPr>
            <w:tcW w:w="692" w:type="dxa"/>
            <w:tcBorders>
              <w:right w:val="double" w:sz="4" w:space="0" w:color="auto"/>
            </w:tcBorders>
            <w:shd w:val="clear" w:color="auto" w:fill="FFFFFF"/>
            <w:vAlign w:val="center"/>
          </w:tcPr>
          <w:p w14:paraId="7DB8EEDB" w14:textId="5D3A0DBC" w:rsidR="00AF7596" w:rsidRPr="00F77189" w:rsidRDefault="00AF7596" w:rsidP="003F1854">
            <w:pPr>
              <w:contextualSpacing/>
              <w:jc w:val="center"/>
            </w:pPr>
            <w:r w:rsidRPr="00B968AC">
              <w:t>0</w:t>
            </w:r>
          </w:p>
        </w:tc>
      </w:tr>
      <w:tr w:rsidR="00AF7596" w:rsidRPr="00F77189" w14:paraId="330BDE9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51525027" w14:textId="77777777" w:rsidR="00AF7596" w:rsidRPr="00250CAA" w:rsidRDefault="00AF7596" w:rsidP="003F1854">
            <w:pPr>
              <w:contextualSpacing/>
            </w:pPr>
            <w:r w:rsidRPr="00250CAA">
              <w:t>Lamonica Sanford</w:t>
            </w:r>
          </w:p>
          <w:p w14:paraId="5DD9CD9F" w14:textId="77777777" w:rsidR="00AF7596" w:rsidRPr="00250CAA" w:rsidRDefault="00AF7596" w:rsidP="003F1854">
            <w:pPr>
              <w:contextualSpacing/>
              <w:rPr>
                <w:i/>
                <w:iCs/>
              </w:rPr>
            </w:pPr>
            <w:r w:rsidRPr="00250CAA">
              <w:rPr>
                <w:i/>
                <w:iCs/>
              </w:rPr>
              <w:t>EFS, Library</w:t>
            </w:r>
          </w:p>
          <w:p w14:paraId="4076D670" w14:textId="07B2245B" w:rsidR="00AF7596" w:rsidRPr="00F77189" w:rsidRDefault="00AF7596" w:rsidP="003F1854">
            <w:pPr>
              <w:contextualSpacing/>
              <w:rPr>
                <w:i/>
              </w:rPr>
            </w:pPr>
            <w:r w:rsidRPr="00250CAA">
              <w:rPr>
                <w:i/>
                <w:iCs/>
              </w:rPr>
              <w:t>ECUS Member</w:t>
            </w:r>
          </w:p>
        </w:tc>
        <w:tc>
          <w:tcPr>
            <w:tcW w:w="537" w:type="dxa"/>
            <w:shd w:val="clear" w:color="auto" w:fill="FFFFFF"/>
            <w:vAlign w:val="center"/>
          </w:tcPr>
          <w:p w14:paraId="2A0D58BC" w14:textId="5829777F" w:rsidR="00AF7596" w:rsidRPr="00F77189" w:rsidRDefault="00AF7596" w:rsidP="003F1854">
            <w:pPr>
              <w:contextualSpacing/>
              <w:jc w:val="center"/>
            </w:pPr>
            <w:r w:rsidRPr="00B968AC">
              <w:t>P</w:t>
            </w:r>
          </w:p>
        </w:tc>
        <w:tc>
          <w:tcPr>
            <w:tcW w:w="657" w:type="dxa"/>
            <w:shd w:val="clear" w:color="auto" w:fill="FFFFFF"/>
            <w:vAlign w:val="center"/>
          </w:tcPr>
          <w:p w14:paraId="5D11FA2A" w14:textId="49DA2511" w:rsidR="00AF7596" w:rsidRPr="00F77189" w:rsidRDefault="00AF7596" w:rsidP="003F1854">
            <w:pPr>
              <w:contextualSpacing/>
              <w:jc w:val="center"/>
            </w:pPr>
            <w:r w:rsidRPr="00B968AC">
              <w:t>P</w:t>
            </w:r>
          </w:p>
        </w:tc>
        <w:tc>
          <w:tcPr>
            <w:tcW w:w="657" w:type="dxa"/>
            <w:shd w:val="clear" w:color="auto" w:fill="FFFFFF"/>
            <w:vAlign w:val="center"/>
          </w:tcPr>
          <w:p w14:paraId="15B6FD3E" w14:textId="50CCE686" w:rsidR="00AF7596" w:rsidRPr="00F77189" w:rsidRDefault="00AF7596" w:rsidP="003F1854">
            <w:pPr>
              <w:contextualSpacing/>
              <w:jc w:val="center"/>
            </w:pPr>
            <w:r>
              <w:t>P</w:t>
            </w:r>
          </w:p>
        </w:tc>
        <w:tc>
          <w:tcPr>
            <w:tcW w:w="657" w:type="dxa"/>
            <w:shd w:val="clear" w:color="auto" w:fill="FFFFFF"/>
            <w:vAlign w:val="center"/>
          </w:tcPr>
          <w:p w14:paraId="281E0127" w14:textId="5FB48B5A" w:rsidR="00AF7596" w:rsidRPr="00F77189" w:rsidRDefault="00AF7596" w:rsidP="003F1854">
            <w:pPr>
              <w:contextualSpacing/>
              <w:jc w:val="center"/>
            </w:pPr>
            <w:r>
              <w:t>P</w:t>
            </w:r>
          </w:p>
        </w:tc>
        <w:tc>
          <w:tcPr>
            <w:tcW w:w="797" w:type="dxa"/>
            <w:shd w:val="clear" w:color="auto" w:fill="FFFFFF"/>
            <w:vAlign w:val="center"/>
          </w:tcPr>
          <w:p w14:paraId="221EEF8A" w14:textId="2C52F262" w:rsidR="00AF7596" w:rsidRPr="00F77189" w:rsidRDefault="00AF7596" w:rsidP="003F1854">
            <w:pPr>
              <w:contextualSpacing/>
              <w:jc w:val="center"/>
            </w:pPr>
            <w:r>
              <w:t>P</w:t>
            </w:r>
          </w:p>
        </w:tc>
        <w:tc>
          <w:tcPr>
            <w:tcW w:w="738" w:type="dxa"/>
            <w:shd w:val="clear" w:color="auto" w:fill="FFFFFF"/>
            <w:vAlign w:val="center"/>
          </w:tcPr>
          <w:p w14:paraId="17D847B8" w14:textId="052968A8" w:rsidR="00AF7596" w:rsidRPr="00F77189" w:rsidRDefault="00AF7596" w:rsidP="003F1854">
            <w:pPr>
              <w:contextualSpacing/>
              <w:jc w:val="center"/>
            </w:pPr>
            <w:r>
              <w:t>P</w:t>
            </w:r>
          </w:p>
        </w:tc>
        <w:tc>
          <w:tcPr>
            <w:tcW w:w="788" w:type="dxa"/>
            <w:shd w:val="clear" w:color="auto" w:fill="FFFFFF"/>
            <w:vAlign w:val="center"/>
          </w:tcPr>
          <w:p w14:paraId="5F44155D" w14:textId="70654E3F" w:rsidR="00AF7596" w:rsidRPr="00F77189" w:rsidRDefault="00AF7596" w:rsidP="003F1854">
            <w:pPr>
              <w:contextualSpacing/>
              <w:jc w:val="center"/>
            </w:pPr>
            <w:r>
              <w:t>P</w:t>
            </w:r>
          </w:p>
        </w:tc>
        <w:tc>
          <w:tcPr>
            <w:tcW w:w="689" w:type="dxa"/>
            <w:shd w:val="clear" w:color="auto" w:fill="FFFFFF"/>
            <w:vAlign w:val="center"/>
          </w:tcPr>
          <w:p w14:paraId="51F4817A" w14:textId="00716DE3" w:rsidR="00AF7596" w:rsidRPr="00F77189" w:rsidRDefault="00AF7596" w:rsidP="003F1854">
            <w:pPr>
              <w:contextualSpacing/>
              <w:jc w:val="center"/>
            </w:pPr>
            <w:r>
              <w:t>7</w:t>
            </w:r>
          </w:p>
        </w:tc>
        <w:tc>
          <w:tcPr>
            <w:tcW w:w="691" w:type="dxa"/>
            <w:shd w:val="clear" w:color="auto" w:fill="FFFFFF"/>
            <w:vAlign w:val="center"/>
          </w:tcPr>
          <w:p w14:paraId="2C18065B" w14:textId="08C4DFD2" w:rsidR="00AF7596" w:rsidRPr="00F77189" w:rsidRDefault="00AF7596" w:rsidP="003F1854">
            <w:pPr>
              <w:contextualSpacing/>
              <w:jc w:val="center"/>
            </w:pPr>
            <w:r w:rsidRPr="00B968AC">
              <w:t>0</w:t>
            </w:r>
          </w:p>
        </w:tc>
        <w:tc>
          <w:tcPr>
            <w:tcW w:w="692" w:type="dxa"/>
            <w:tcBorders>
              <w:right w:val="double" w:sz="4" w:space="0" w:color="auto"/>
            </w:tcBorders>
            <w:shd w:val="clear" w:color="auto" w:fill="FFFFFF"/>
            <w:vAlign w:val="center"/>
          </w:tcPr>
          <w:p w14:paraId="30B88D27" w14:textId="24B4080A" w:rsidR="00AF7596" w:rsidRPr="00F77189" w:rsidRDefault="00AF7596" w:rsidP="003F1854">
            <w:pPr>
              <w:contextualSpacing/>
              <w:jc w:val="center"/>
            </w:pPr>
            <w:r w:rsidRPr="00B968AC">
              <w:t>0</w:t>
            </w:r>
          </w:p>
        </w:tc>
      </w:tr>
      <w:tr w:rsidR="00AF7596" w:rsidRPr="00F77189" w14:paraId="596B5553"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438B739A" w14:textId="77777777" w:rsidR="00AF7596" w:rsidRDefault="00AF7596" w:rsidP="003F1854">
            <w:pPr>
              <w:contextualSpacing/>
            </w:pPr>
            <w:r>
              <w:t>Rob Sumowski</w:t>
            </w:r>
          </w:p>
          <w:p w14:paraId="57DEC664" w14:textId="77777777" w:rsidR="00AF7596" w:rsidRDefault="00AF7596" w:rsidP="003F1854">
            <w:pPr>
              <w:contextualSpacing/>
            </w:pPr>
            <w:r>
              <w:rPr>
                <w:i/>
                <w:iCs/>
              </w:rPr>
              <w:t xml:space="preserve">EFS, </w:t>
            </w:r>
            <w:proofErr w:type="spellStart"/>
            <w:r>
              <w:rPr>
                <w:i/>
                <w:iCs/>
              </w:rPr>
              <w:t>CoE</w:t>
            </w:r>
            <w:proofErr w:type="spellEnd"/>
          </w:p>
          <w:p w14:paraId="0F2F2649" w14:textId="186DD64D" w:rsidR="00AF7596" w:rsidRPr="00C52D72" w:rsidRDefault="00AF7596" w:rsidP="003F1854">
            <w:pPr>
              <w:contextualSpacing/>
            </w:pPr>
            <w:r>
              <w:rPr>
                <w:i/>
                <w:iCs/>
              </w:rPr>
              <w:t>ECUS Chair Emerita</w:t>
            </w:r>
          </w:p>
        </w:tc>
        <w:tc>
          <w:tcPr>
            <w:tcW w:w="537" w:type="dxa"/>
            <w:tcBorders>
              <w:bottom w:val="single" w:sz="4" w:space="0" w:color="auto"/>
            </w:tcBorders>
            <w:vAlign w:val="center"/>
          </w:tcPr>
          <w:p w14:paraId="1EDC887A" w14:textId="48C317FF" w:rsidR="00AF7596" w:rsidRPr="00F77189" w:rsidRDefault="00AF7596" w:rsidP="003F1854">
            <w:pPr>
              <w:contextualSpacing/>
              <w:jc w:val="center"/>
            </w:pPr>
            <w:r w:rsidRPr="00B968AC">
              <w:t>P</w:t>
            </w:r>
          </w:p>
        </w:tc>
        <w:tc>
          <w:tcPr>
            <w:tcW w:w="657" w:type="dxa"/>
            <w:tcBorders>
              <w:bottom w:val="single" w:sz="4" w:space="0" w:color="auto"/>
            </w:tcBorders>
            <w:shd w:val="clear" w:color="auto" w:fill="FFFFFF"/>
            <w:vAlign w:val="center"/>
          </w:tcPr>
          <w:p w14:paraId="0D6C6E84" w14:textId="7F7C6B2C" w:rsidR="00AF7596" w:rsidRPr="00F77189" w:rsidRDefault="00AF7596" w:rsidP="003F1854">
            <w:pPr>
              <w:contextualSpacing/>
              <w:jc w:val="center"/>
            </w:pPr>
            <w:r w:rsidRPr="00B968AC">
              <w:t>R</w:t>
            </w:r>
          </w:p>
        </w:tc>
        <w:tc>
          <w:tcPr>
            <w:tcW w:w="657" w:type="dxa"/>
            <w:tcBorders>
              <w:bottom w:val="single" w:sz="4" w:space="0" w:color="auto"/>
            </w:tcBorders>
            <w:shd w:val="clear" w:color="auto" w:fill="FFFFFF"/>
            <w:vAlign w:val="center"/>
          </w:tcPr>
          <w:p w14:paraId="13D8684A" w14:textId="63287982" w:rsidR="00AF7596" w:rsidRPr="00F77189" w:rsidRDefault="00AF7596" w:rsidP="003F1854">
            <w:pPr>
              <w:contextualSpacing/>
              <w:jc w:val="center"/>
            </w:pPr>
            <w:r>
              <w:t>R</w:t>
            </w:r>
          </w:p>
        </w:tc>
        <w:tc>
          <w:tcPr>
            <w:tcW w:w="657" w:type="dxa"/>
            <w:tcBorders>
              <w:bottom w:val="single" w:sz="4" w:space="0" w:color="auto"/>
            </w:tcBorders>
            <w:shd w:val="clear" w:color="auto" w:fill="FFFFFF"/>
            <w:vAlign w:val="center"/>
          </w:tcPr>
          <w:p w14:paraId="7025AA68" w14:textId="22CA5A41" w:rsidR="00AF7596" w:rsidRPr="00F77189" w:rsidRDefault="00AF7596" w:rsidP="003F1854">
            <w:pPr>
              <w:contextualSpacing/>
              <w:jc w:val="center"/>
            </w:pPr>
            <w:r>
              <w:t>P</w:t>
            </w:r>
          </w:p>
        </w:tc>
        <w:tc>
          <w:tcPr>
            <w:tcW w:w="797" w:type="dxa"/>
            <w:tcBorders>
              <w:bottom w:val="single" w:sz="4" w:space="0" w:color="auto"/>
            </w:tcBorders>
            <w:shd w:val="clear" w:color="auto" w:fill="FFFFFF"/>
            <w:vAlign w:val="center"/>
          </w:tcPr>
          <w:p w14:paraId="70075B94" w14:textId="47F523EA" w:rsidR="00AF7596" w:rsidRPr="00F77189" w:rsidRDefault="00AF7596" w:rsidP="003F1854">
            <w:pPr>
              <w:contextualSpacing/>
              <w:jc w:val="center"/>
            </w:pPr>
            <w:r>
              <w:t>P</w:t>
            </w:r>
          </w:p>
        </w:tc>
        <w:tc>
          <w:tcPr>
            <w:tcW w:w="738" w:type="dxa"/>
            <w:tcBorders>
              <w:bottom w:val="single" w:sz="4" w:space="0" w:color="auto"/>
            </w:tcBorders>
            <w:shd w:val="clear" w:color="auto" w:fill="FFFFFF"/>
            <w:vAlign w:val="center"/>
          </w:tcPr>
          <w:p w14:paraId="65512A16" w14:textId="226F999B" w:rsidR="00AF7596" w:rsidRPr="00F77189" w:rsidRDefault="00AF7596" w:rsidP="003F1854">
            <w:pPr>
              <w:contextualSpacing/>
              <w:jc w:val="center"/>
            </w:pPr>
            <w:r>
              <w:t>P</w:t>
            </w:r>
          </w:p>
        </w:tc>
        <w:tc>
          <w:tcPr>
            <w:tcW w:w="788" w:type="dxa"/>
            <w:tcBorders>
              <w:bottom w:val="single" w:sz="4" w:space="0" w:color="auto"/>
            </w:tcBorders>
            <w:shd w:val="clear" w:color="auto" w:fill="FFFFFF"/>
            <w:vAlign w:val="center"/>
          </w:tcPr>
          <w:p w14:paraId="75C8686D" w14:textId="1A9146E7" w:rsidR="00AF7596" w:rsidRPr="00F77189" w:rsidRDefault="00AF7596" w:rsidP="003F1854">
            <w:pPr>
              <w:contextualSpacing/>
              <w:jc w:val="center"/>
            </w:pPr>
            <w:r>
              <w:t>P</w:t>
            </w:r>
          </w:p>
        </w:tc>
        <w:tc>
          <w:tcPr>
            <w:tcW w:w="689" w:type="dxa"/>
            <w:tcBorders>
              <w:bottom w:val="single" w:sz="4" w:space="0" w:color="auto"/>
            </w:tcBorders>
            <w:shd w:val="clear" w:color="auto" w:fill="FFFFFF"/>
            <w:vAlign w:val="center"/>
          </w:tcPr>
          <w:p w14:paraId="245B2705" w14:textId="5AA2A53F" w:rsidR="00AF7596" w:rsidRPr="00F77189" w:rsidRDefault="00AF7596" w:rsidP="003F1854">
            <w:pPr>
              <w:contextualSpacing/>
              <w:jc w:val="center"/>
            </w:pPr>
            <w:r>
              <w:t>5</w:t>
            </w:r>
          </w:p>
        </w:tc>
        <w:tc>
          <w:tcPr>
            <w:tcW w:w="691" w:type="dxa"/>
            <w:tcBorders>
              <w:bottom w:val="single" w:sz="4" w:space="0" w:color="auto"/>
            </w:tcBorders>
            <w:shd w:val="clear" w:color="auto" w:fill="FFFFFF"/>
            <w:vAlign w:val="center"/>
          </w:tcPr>
          <w:p w14:paraId="57F4A363" w14:textId="4E193545" w:rsidR="00AF7596" w:rsidRPr="00F77189" w:rsidRDefault="00AF7596" w:rsidP="003F1854">
            <w:pPr>
              <w:contextualSpacing/>
              <w:jc w:val="center"/>
            </w:pPr>
            <w:r>
              <w:t>2</w:t>
            </w:r>
          </w:p>
        </w:tc>
        <w:tc>
          <w:tcPr>
            <w:tcW w:w="692" w:type="dxa"/>
            <w:tcBorders>
              <w:bottom w:val="single" w:sz="4" w:space="0" w:color="auto"/>
              <w:right w:val="double" w:sz="4" w:space="0" w:color="auto"/>
            </w:tcBorders>
            <w:shd w:val="clear" w:color="auto" w:fill="FFFFFF"/>
            <w:vAlign w:val="center"/>
          </w:tcPr>
          <w:p w14:paraId="5F2CEC1F" w14:textId="5B0C9572" w:rsidR="00AF7596" w:rsidRPr="00F77189" w:rsidRDefault="00AF7596" w:rsidP="003F1854">
            <w:pPr>
              <w:contextualSpacing/>
              <w:jc w:val="center"/>
            </w:pPr>
            <w:r w:rsidRPr="00B968AC">
              <w:t>0</w:t>
            </w:r>
          </w:p>
        </w:tc>
      </w:tr>
      <w:tr w:rsidR="00AF7596" w:rsidRPr="00F77189" w14:paraId="32EBEC3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5A54E822" w14:textId="77777777" w:rsidR="00AF7596" w:rsidRPr="00F77189" w:rsidRDefault="00AF7596" w:rsidP="003F1854">
            <w:pPr>
              <w:contextualSpacing/>
            </w:pPr>
            <w:r>
              <w:t>Andrew Allen</w:t>
            </w:r>
          </w:p>
          <w:p w14:paraId="1CD46C2C" w14:textId="065A5757" w:rsidR="00AF7596" w:rsidRPr="00F77189" w:rsidRDefault="00AF7596" w:rsidP="003F1854">
            <w:pPr>
              <w:contextualSpacing/>
              <w:rPr>
                <w:i/>
                <w:iCs/>
              </w:rPr>
            </w:pPr>
            <w:r w:rsidRPr="00F77189">
              <w:rPr>
                <w:i/>
                <w:iCs/>
              </w:rPr>
              <w:t>APC Chair</w:t>
            </w:r>
          </w:p>
        </w:tc>
        <w:tc>
          <w:tcPr>
            <w:tcW w:w="537" w:type="dxa"/>
            <w:vAlign w:val="center"/>
          </w:tcPr>
          <w:p w14:paraId="1C468FC8" w14:textId="52D5692A" w:rsidR="00AF7596" w:rsidRPr="00F77189" w:rsidRDefault="00AF7596" w:rsidP="003F1854">
            <w:pPr>
              <w:contextualSpacing/>
              <w:jc w:val="center"/>
            </w:pPr>
            <w:r w:rsidRPr="00B968AC">
              <w:t>P</w:t>
            </w:r>
          </w:p>
        </w:tc>
        <w:tc>
          <w:tcPr>
            <w:tcW w:w="657" w:type="dxa"/>
            <w:vAlign w:val="center"/>
          </w:tcPr>
          <w:p w14:paraId="5A069D2F" w14:textId="603051D0" w:rsidR="00AF7596" w:rsidRPr="00F77189" w:rsidRDefault="00AF7596" w:rsidP="003F1854">
            <w:pPr>
              <w:contextualSpacing/>
              <w:jc w:val="center"/>
            </w:pPr>
            <w:r w:rsidRPr="00B968AC">
              <w:t>P</w:t>
            </w:r>
          </w:p>
        </w:tc>
        <w:tc>
          <w:tcPr>
            <w:tcW w:w="657" w:type="dxa"/>
            <w:vAlign w:val="center"/>
          </w:tcPr>
          <w:p w14:paraId="4AC8F063" w14:textId="38BF856F" w:rsidR="00AF7596" w:rsidRPr="00F77189" w:rsidRDefault="00AF7596" w:rsidP="003F1854">
            <w:pPr>
              <w:contextualSpacing/>
              <w:jc w:val="center"/>
            </w:pPr>
            <w:r>
              <w:t>P</w:t>
            </w:r>
          </w:p>
        </w:tc>
        <w:tc>
          <w:tcPr>
            <w:tcW w:w="657" w:type="dxa"/>
            <w:vAlign w:val="center"/>
          </w:tcPr>
          <w:p w14:paraId="19BAD76A" w14:textId="266ECA3E" w:rsidR="00AF7596" w:rsidRPr="00F77189" w:rsidRDefault="00AF7596" w:rsidP="003F1854">
            <w:pPr>
              <w:contextualSpacing/>
              <w:jc w:val="center"/>
            </w:pPr>
            <w:r>
              <w:t>R</w:t>
            </w:r>
          </w:p>
        </w:tc>
        <w:tc>
          <w:tcPr>
            <w:tcW w:w="797" w:type="dxa"/>
            <w:vAlign w:val="center"/>
          </w:tcPr>
          <w:p w14:paraId="2FE6C1FE" w14:textId="03517AFA" w:rsidR="00AF7596" w:rsidRPr="00F77189" w:rsidRDefault="00AF7596" w:rsidP="003F1854">
            <w:pPr>
              <w:contextualSpacing/>
              <w:jc w:val="center"/>
            </w:pPr>
            <w:r>
              <w:t>P</w:t>
            </w:r>
          </w:p>
        </w:tc>
        <w:tc>
          <w:tcPr>
            <w:tcW w:w="738" w:type="dxa"/>
            <w:vAlign w:val="center"/>
          </w:tcPr>
          <w:p w14:paraId="42AD07DD" w14:textId="67E7831D" w:rsidR="00AF7596" w:rsidRPr="00F77189" w:rsidRDefault="00AF7596" w:rsidP="003F1854">
            <w:pPr>
              <w:contextualSpacing/>
              <w:jc w:val="center"/>
            </w:pPr>
            <w:r>
              <w:t>P</w:t>
            </w:r>
          </w:p>
        </w:tc>
        <w:tc>
          <w:tcPr>
            <w:tcW w:w="788" w:type="dxa"/>
            <w:vAlign w:val="center"/>
          </w:tcPr>
          <w:p w14:paraId="031373EB" w14:textId="2CAA5953" w:rsidR="00AF7596" w:rsidRPr="00F77189" w:rsidRDefault="00AF7596" w:rsidP="003F1854">
            <w:pPr>
              <w:contextualSpacing/>
              <w:jc w:val="center"/>
            </w:pPr>
            <w:r>
              <w:t>P</w:t>
            </w:r>
          </w:p>
        </w:tc>
        <w:tc>
          <w:tcPr>
            <w:tcW w:w="689" w:type="dxa"/>
            <w:vAlign w:val="center"/>
          </w:tcPr>
          <w:p w14:paraId="1C52AE8D" w14:textId="6E0126B9" w:rsidR="00AF7596" w:rsidRPr="00F77189" w:rsidRDefault="00AF7596" w:rsidP="003F1854">
            <w:pPr>
              <w:contextualSpacing/>
              <w:jc w:val="center"/>
            </w:pPr>
            <w:r>
              <w:t>6</w:t>
            </w:r>
          </w:p>
        </w:tc>
        <w:tc>
          <w:tcPr>
            <w:tcW w:w="691" w:type="dxa"/>
            <w:vAlign w:val="center"/>
          </w:tcPr>
          <w:p w14:paraId="2AFF2933" w14:textId="0070E7C3" w:rsidR="00AF7596" w:rsidRPr="00F77189" w:rsidRDefault="00AF7596" w:rsidP="003F1854">
            <w:pPr>
              <w:contextualSpacing/>
              <w:jc w:val="center"/>
            </w:pPr>
            <w:r>
              <w:t>1</w:t>
            </w:r>
          </w:p>
        </w:tc>
        <w:tc>
          <w:tcPr>
            <w:tcW w:w="692" w:type="dxa"/>
            <w:tcBorders>
              <w:right w:val="double" w:sz="4" w:space="0" w:color="auto"/>
            </w:tcBorders>
            <w:vAlign w:val="center"/>
          </w:tcPr>
          <w:p w14:paraId="19DC4912" w14:textId="3D2A8002" w:rsidR="00AF7596" w:rsidRPr="00F77189" w:rsidRDefault="00AF7596" w:rsidP="003F1854">
            <w:pPr>
              <w:contextualSpacing/>
              <w:jc w:val="center"/>
            </w:pPr>
            <w:r w:rsidRPr="00B968AC">
              <w:t>0</w:t>
            </w:r>
          </w:p>
        </w:tc>
      </w:tr>
      <w:tr w:rsidR="00AF7596" w:rsidRPr="00F77189" w14:paraId="6A2D7630"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468D3D6C" w14:textId="77777777" w:rsidR="00AF7596" w:rsidRDefault="00AF7596" w:rsidP="003F1854">
            <w:pPr>
              <w:contextualSpacing/>
            </w:pPr>
            <w:r>
              <w:t>Corey Claxton</w:t>
            </w:r>
          </w:p>
          <w:p w14:paraId="300020BC" w14:textId="337A3200" w:rsidR="00AF7596" w:rsidRPr="00C52D72" w:rsidRDefault="00AF7596" w:rsidP="003F1854">
            <w:pPr>
              <w:contextualSpacing/>
              <w:rPr>
                <w:i/>
                <w:iCs/>
              </w:rPr>
            </w:pPr>
            <w:r>
              <w:rPr>
                <w:i/>
                <w:iCs/>
              </w:rPr>
              <w:t>DEIPC Chair</w:t>
            </w:r>
          </w:p>
        </w:tc>
        <w:tc>
          <w:tcPr>
            <w:tcW w:w="537" w:type="dxa"/>
            <w:vAlign w:val="center"/>
          </w:tcPr>
          <w:p w14:paraId="0FF49B0D" w14:textId="71DCF4B3" w:rsidR="00AF7596" w:rsidRPr="00F77189" w:rsidRDefault="00AF7596" w:rsidP="003F1854">
            <w:pPr>
              <w:contextualSpacing/>
              <w:jc w:val="center"/>
            </w:pPr>
            <w:r w:rsidRPr="00B968AC">
              <w:t>R</w:t>
            </w:r>
          </w:p>
        </w:tc>
        <w:tc>
          <w:tcPr>
            <w:tcW w:w="657" w:type="dxa"/>
            <w:tcBorders>
              <w:bottom w:val="single" w:sz="4" w:space="0" w:color="auto"/>
            </w:tcBorders>
            <w:vAlign w:val="center"/>
          </w:tcPr>
          <w:p w14:paraId="35ECF187" w14:textId="44A47AE7" w:rsidR="00AF7596" w:rsidRPr="00F77189" w:rsidRDefault="00AF7596" w:rsidP="003F1854">
            <w:pPr>
              <w:contextualSpacing/>
              <w:jc w:val="center"/>
            </w:pPr>
            <w:r w:rsidRPr="00B968AC">
              <w:t>P</w:t>
            </w:r>
          </w:p>
        </w:tc>
        <w:tc>
          <w:tcPr>
            <w:tcW w:w="657" w:type="dxa"/>
            <w:tcBorders>
              <w:bottom w:val="single" w:sz="4" w:space="0" w:color="auto"/>
            </w:tcBorders>
            <w:vAlign w:val="center"/>
          </w:tcPr>
          <w:p w14:paraId="5DFA9D89" w14:textId="750BBDC4" w:rsidR="00AF7596" w:rsidRPr="00F77189" w:rsidRDefault="00AF7596" w:rsidP="003F1854">
            <w:pPr>
              <w:contextualSpacing/>
              <w:jc w:val="center"/>
            </w:pPr>
            <w:r>
              <w:t>P</w:t>
            </w:r>
          </w:p>
        </w:tc>
        <w:tc>
          <w:tcPr>
            <w:tcW w:w="657" w:type="dxa"/>
            <w:tcBorders>
              <w:bottom w:val="single" w:sz="4" w:space="0" w:color="auto"/>
            </w:tcBorders>
            <w:vAlign w:val="center"/>
          </w:tcPr>
          <w:p w14:paraId="727A7446" w14:textId="5E7BFDD7" w:rsidR="00AF7596" w:rsidRPr="00F77189" w:rsidRDefault="00AF7596" w:rsidP="003F1854">
            <w:pPr>
              <w:contextualSpacing/>
              <w:jc w:val="center"/>
            </w:pPr>
            <w:r>
              <w:t>P</w:t>
            </w:r>
          </w:p>
        </w:tc>
        <w:tc>
          <w:tcPr>
            <w:tcW w:w="797" w:type="dxa"/>
            <w:tcBorders>
              <w:bottom w:val="single" w:sz="4" w:space="0" w:color="auto"/>
            </w:tcBorders>
            <w:vAlign w:val="center"/>
          </w:tcPr>
          <w:p w14:paraId="5ECB83A9" w14:textId="55C601D6" w:rsidR="00AF7596" w:rsidRPr="00F77189" w:rsidRDefault="00AF7596" w:rsidP="003F1854">
            <w:pPr>
              <w:contextualSpacing/>
              <w:jc w:val="center"/>
            </w:pPr>
            <w:r>
              <w:t>R</w:t>
            </w:r>
          </w:p>
        </w:tc>
        <w:tc>
          <w:tcPr>
            <w:tcW w:w="738" w:type="dxa"/>
            <w:tcBorders>
              <w:bottom w:val="single" w:sz="4" w:space="0" w:color="auto"/>
            </w:tcBorders>
            <w:vAlign w:val="center"/>
          </w:tcPr>
          <w:p w14:paraId="4086C954" w14:textId="28415BB1" w:rsidR="00AF7596" w:rsidRPr="00F77189" w:rsidRDefault="00AF7596" w:rsidP="003F1854">
            <w:pPr>
              <w:contextualSpacing/>
              <w:jc w:val="center"/>
            </w:pPr>
            <w:r>
              <w:t>P</w:t>
            </w:r>
          </w:p>
        </w:tc>
        <w:tc>
          <w:tcPr>
            <w:tcW w:w="788" w:type="dxa"/>
            <w:tcBorders>
              <w:bottom w:val="single" w:sz="4" w:space="0" w:color="auto"/>
            </w:tcBorders>
            <w:vAlign w:val="center"/>
          </w:tcPr>
          <w:p w14:paraId="0DE67AAE" w14:textId="3D377654" w:rsidR="00AF7596" w:rsidRPr="00F77189" w:rsidRDefault="00AF7596" w:rsidP="003F1854">
            <w:pPr>
              <w:contextualSpacing/>
              <w:jc w:val="center"/>
            </w:pPr>
            <w:r>
              <w:t>P</w:t>
            </w:r>
          </w:p>
        </w:tc>
        <w:tc>
          <w:tcPr>
            <w:tcW w:w="689" w:type="dxa"/>
            <w:tcBorders>
              <w:bottom w:val="single" w:sz="4" w:space="0" w:color="auto"/>
            </w:tcBorders>
            <w:vAlign w:val="center"/>
          </w:tcPr>
          <w:p w14:paraId="5DFD0C8C" w14:textId="4309F41D" w:rsidR="00AF7596" w:rsidRPr="00F77189" w:rsidRDefault="00AF7596" w:rsidP="003F1854">
            <w:pPr>
              <w:contextualSpacing/>
              <w:jc w:val="center"/>
            </w:pPr>
            <w:r>
              <w:t>6</w:t>
            </w:r>
          </w:p>
        </w:tc>
        <w:tc>
          <w:tcPr>
            <w:tcW w:w="691" w:type="dxa"/>
            <w:tcBorders>
              <w:bottom w:val="single" w:sz="4" w:space="0" w:color="auto"/>
            </w:tcBorders>
            <w:vAlign w:val="center"/>
          </w:tcPr>
          <w:p w14:paraId="4FD73E8F" w14:textId="312B0A70" w:rsidR="00AF7596" w:rsidRPr="00F77189" w:rsidRDefault="00AF7596" w:rsidP="003F1854">
            <w:pPr>
              <w:contextualSpacing/>
              <w:jc w:val="center"/>
            </w:pPr>
            <w:r>
              <w:t>2</w:t>
            </w:r>
          </w:p>
        </w:tc>
        <w:tc>
          <w:tcPr>
            <w:tcW w:w="692" w:type="dxa"/>
            <w:tcBorders>
              <w:bottom w:val="single" w:sz="4" w:space="0" w:color="auto"/>
              <w:right w:val="double" w:sz="4" w:space="0" w:color="auto"/>
            </w:tcBorders>
            <w:vAlign w:val="center"/>
          </w:tcPr>
          <w:p w14:paraId="0F87DCC7" w14:textId="3040962F" w:rsidR="00AF7596" w:rsidRPr="00F77189" w:rsidRDefault="00AF7596" w:rsidP="003F1854">
            <w:pPr>
              <w:contextualSpacing/>
              <w:jc w:val="center"/>
            </w:pPr>
            <w:r w:rsidRPr="00B968AC">
              <w:t>0</w:t>
            </w:r>
          </w:p>
        </w:tc>
      </w:tr>
      <w:tr w:rsidR="00AF7596" w:rsidRPr="00F77189" w14:paraId="39C2DF84"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5FAD0893" w14:textId="77777777" w:rsidR="00AF7596" w:rsidRDefault="00AF7596" w:rsidP="003F1854">
            <w:pPr>
              <w:contextualSpacing/>
            </w:pPr>
            <w:r>
              <w:t>Jennifer Flory</w:t>
            </w:r>
          </w:p>
          <w:p w14:paraId="23B09209" w14:textId="0C2EEAAA" w:rsidR="00AF7596" w:rsidRPr="00F77189" w:rsidRDefault="00AF7596" w:rsidP="003F1854">
            <w:pPr>
              <w:contextualSpacing/>
            </w:pPr>
            <w:r w:rsidRPr="00F77189">
              <w:rPr>
                <w:i/>
                <w:iCs/>
              </w:rPr>
              <w:t>FAPC Chair</w:t>
            </w:r>
          </w:p>
        </w:tc>
        <w:tc>
          <w:tcPr>
            <w:tcW w:w="537" w:type="dxa"/>
            <w:vAlign w:val="center"/>
          </w:tcPr>
          <w:p w14:paraId="47DF19F8" w14:textId="7EED2783" w:rsidR="00AF7596" w:rsidRPr="00F77189" w:rsidRDefault="00AF7596" w:rsidP="003F1854">
            <w:pPr>
              <w:contextualSpacing/>
              <w:jc w:val="center"/>
            </w:pPr>
            <w:r w:rsidRPr="00B968AC">
              <w:t>P</w:t>
            </w:r>
          </w:p>
        </w:tc>
        <w:tc>
          <w:tcPr>
            <w:tcW w:w="657" w:type="dxa"/>
            <w:tcBorders>
              <w:bottom w:val="single" w:sz="4" w:space="0" w:color="auto"/>
            </w:tcBorders>
            <w:vAlign w:val="center"/>
          </w:tcPr>
          <w:p w14:paraId="54F4097F" w14:textId="6B11CFC9" w:rsidR="00AF7596" w:rsidRPr="00F77189" w:rsidRDefault="00AF7596" w:rsidP="003F1854">
            <w:pPr>
              <w:contextualSpacing/>
              <w:jc w:val="center"/>
            </w:pPr>
            <w:r w:rsidRPr="00B968AC">
              <w:t>P</w:t>
            </w:r>
          </w:p>
        </w:tc>
        <w:tc>
          <w:tcPr>
            <w:tcW w:w="657" w:type="dxa"/>
            <w:tcBorders>
              <w:bottom w:val="single" w:sz="4" w:space="0" w:color="auto"/>
            </w:tcBorders>
            <w:vAlign w:val="center"/>
          </w:tcPr>
          <w:p w14:paraId="311D3523" w14:textId="255D5452" w:rsidR="00AF7596" w:rsidRPr="00F77189" w:rsidRDefault="00AF7596" w:rsidP="003F1854">
            <w:pPr>
              <w:contextualSpacing/>
              <w:jc w:val="center"/>
            </w:pPr>
            <w:r>
              <w:t>R</w:t>
            </w:r>
          </w:p>
        </w:tc>
        <w:tc>
          <w:tcPr>
            <w:tcW w:w="657" w:type="dxa"/>
            <w:tcBorders>
              <w:bottom w:val="single" w:sz="4" w:space="0" w:color="auto"/>
            </w:tcBorders>
            <w:vAlign w:val="center"/>
          </w:tcPr>
          <w:p w14:paraId="488C5E0D" w14:textId="0878A2D6" w:rsidR="00AF7596" w:rsidRPr="00F77189" w:rsidRDefault="00AF7596" w:rsidP="003F1854">
            <w:pPr>
              <w:contextualSpacing/>
              <w:jc w:val="center"/>
            </w:pPr>
            <w:r>
              <w:t>P</w:t>
            </w:r>
          </w:p>
        </w:tc>
        <w:tc>
          <w:tcPr>
            <w:tcW w:w="797" w:type="dxa"/>
            <w:tcBorders>
              <w:bottom w:val="single" w:sz="4" w:space="0" w:color="auto"/>
            </w:tcBorders>
            <w:vAlign w:val="center"/>
          </w:tcPr>
          <w:p w14:paraId="4C00E67F" w14:textId="170BA571" w:rsidR="00AF7596" w:rsidRPr="00F77189" w:rsidRDefault="00AF7596" w:rsidP="003F1854">
            <w:pPr>
              <w:contextualSpacing/>
              <w:jc w:val="center"/>
            </w:pPr>
            <w:r>
              <w:t>P</w:t>
            </w:r>
          </w:p>
        </w:tc>
        <w:tc>
          <w:tcPr>
            <w:tcW w:w="738" w:type="dxa"/>
            <w:tcBorders>
              <w:bottom w:val="single" w:sz="4" w:space="0" w:color="auto"/>
            </w:tcBorders>
            <w:vAlign w:val="center"/>
          </w:tcPr>
          <w:p w14:paraId="599784CE" w14:textId="34D68E48" w:rsidR="00AF7596" w:rsidRPr="00F77189" w:rsidRDefault="00AF7596" w:rsidP="003F1854">
            <w:pPr>
              <w:contextualSpacing/>
              <w:jc w:val="center"/>
            </w:pPr>
            <w:r>
              <w:t>P</w:t>
            </w:r>
          </w:p>
        </w:tc>
        <w:tc>
          <w:tcPr>
            <w:tcW w:w="788" w:type="dxa"/>
            <w:tcBorders>
              <w:bottom w:val="single" w:sz="4" w:space="0" w:color="auto"/>
            </w:tcBorders>
            <w:vAlign w:val="center"/>
          </w:tcPr>
          <w:p w14:paraId="24CEB78B" w14:textId="6FE6E44F" w:rsidR="00AF7596" w:rsidRPr="00F77189" w:rsidRDefault="00AF7596" w:rsidP="003F1854">
            <w:pPr>
              <w:contextualSpacing/>
              <w:jc w:val="center"/>
            </w:pPr>
            <w:r>
              <w:t>P</w:t>
            </w:r>
          </w:p>
        </w:tc>
        <w:tc>
          <w:tcPr>
            <w:tcW w:w="689" w:type="dxa"/>
            <w:tcBorders>
              <w:bottom w:val="single" w:sz="4" w:space="0" w:color="auto"/>
            </w:tcBorders>
            <w:vAlign w:val="center"/>
          </w:tcPr>
          <w:p w14:paraId="296407C5" w14:textId="28E66DB5" w:rsidR="00AF7596" w:rsidRPr="00F77189" w:rsidRDefault="00AF7596" w:rsidP="003F1854">
            <w:pPr>
              <w:contextualSpacing/>
              <w:jc w:val="center"/>
            </w:pPr>
            <w:r>
              <w:t>6</w:t>
            </w:r>
          </w:p>
        </w:tc>
        <w:tc>
          <w:tcPr>
            <w:tcW w:w="691" w:type="dxa"/>
            <w:tcBorders>
              <w:bottom w:val="single" w:sz="4" w:space="0" w:color="auto"/>
            </w:tcBorders>
            <w:vAlign w:val="center"/>
          </w:tcPr>
          <w:p w14:paraId="7D8AD3D9" w14:textId="25432D16" w:rsidR="00AF7596" w:rsidRPr="00F77189" w:rsidRDefault="00AF7596" w:rsidP="003F1854">
            <w:pPr>
              <w:contextualSpacing/>
              <w:jc w:val="center"/>
            </w:pPr>
            <w:r>
              <w:t>1</w:t>
            </w:r>
          </w:p>
        </w:tc>
        <w:tc>
          <w:tcPr>
            <w:tcW w:w="692" w:type="dxa"/>
            <w:tcBorders>
              <w:bottom w:val="single" w:sz="4" w:space="0" w:color="auto"/>
              <w:right w:val="double" w:sz="4" w:space="0" w:color="auto"/>
            </w:tcBorders>
            <w:vAlign w:val="center"/>
          </w:tcPr>
          <w:p w14:paraId="51EE3061" w14:textId="3E1B959E" w:rsidR="00AF7596" w:rsidRPr="00F77189" w:rsidRDefault="00AF7596" w:rsidP="003F1854">
            <w:pPr>
              <w:contextualSpacing/>
              <w:jc w:val="center"/>
            </w:pPr>
            <w:r w:rsidRPr="00B968AC">
              <w:t>0</w:t>
            </w:r>
          </w:p>
        </w:tc>
      </w:tr>
      <w:tr w:rsidR="00AF7596" w:rsidRPr="00F77189" w14:paraId="7B202CD5"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EFF9E7B" w14:textId="77777777" w:rsidR="00AF7596" w:rsidRDefault="00AF7596" w:rsidP="003F1854">
            <w:pPr>
              <w:contextualSpacing/>
            </w:pPr>
            <w:r>
              <w:t>Brad Fowler</w:t>
            </w:r>
          </w:p>
          <w:p w14:paraId="5DB8D121" w14:textId="1F6F9C51" w:rsidR="00AF7596" w:rsidRPr="00F77189" w:rsidRDefault="00AF7596" w:rsidP="003F1854">
            <w:pPr>
              <w:contextualSpacing/>
              <w:rPr>
                <w:i/>
                <w:iCs/>
              </w:rPr>
            </w:pPr>
            <w:r w:rsidRPr="00F77189">
              <w:rPr>
                <w:i/>
                <w:iCs/>
              </w:rPr>
              <w:t>RPIPC Chair</w:t>
            </w:r>
          </w:p>
        </w:tc>
        <w:tc>
          <w:tcPr>
            <w:tcW w:w="537" w:type="dxa"/>
            <w:vAlign w:val="center"/>
          </w:tcPr>
          <w:p w14:paraId="163BD095" w14:textId="17CC9BC8" w:rsidR="00AF7596" w:rsidRPr="00F77189" w:rsidRDefault="00AF7596" w:rsidP="003F1854">
            <w:pPr>
              <w:contextualSpacing/>
              <w:jc w:val="center"/>
            </w:pPr>
            <w:r w:rsidRPr="00B968AC">
              <w:t>P</w:t>
            </w:r>
          </w:p>
        </w:tc>
        <w:tc>
          <w:tcPr>
            <w:tcW w:w="657" w:type="dxa"/>
            <w:tcBorders>
              <w:bottom w:val="single" w:sz="4" w:space="0" w:color="auto"/>
            </w:tcBorders>
            <w:vAlign w:val="center"/>
          </w:tcPr>
          <w:p w14:paraId="0FBDA5B2" w14:textId="1F80FEA8" w:rsidR="00AF7596" w:rsidRPr="00F77189" w:rsidRDefault="00AF7596" w:rsidP="003F1854">
            <w:pPr>
              <w:contextualSpacing/>
              <w:jc w:val="center"/>
            </w:pPr>
            <w:r w:rsidRPr="00B968AC">
              <w:t>R</w:t>
            </w:r>
          </w:p>
        </w:tc>
        <w:tc>
          <w:tcPr>
            <w:tcW w:w="657" w:type="dxa"/>
            <w:tcBorders>
              <w:bottom w:val="single" w:sz="4" w:space="0" w:color="auto"/>
            </w:tcBorders>
            <w:vAlign w:val="center"/>
          </w:tcPr>
          <w:p w14:paraId="798A4EAA" w14:textId="32B632F2" w:rsidR="00AF7596" w:rsidRPr="00F77189" w:rsidRDefault="00AF7596" w:rsidP="003F1854">
            <w:pPr>
              <w:contextualSpacing/>
              <w:jc w:val="center"/>
            </w:pPr>
            <w:r>
              <w:t>P</w:t>
            </w:r>
          </w:p>
        </w:tc>
        <w:tc>
          <w:tcPr>
            <w:tcW w:w="657" w:type="dxa"/>
            <w:tcBorders>
              <w:bottom w:val="single" w:sz="4" w:space="0" w:color="auto"/>
            </w:tcBorders>
            <w:vAlign w:val="center"/>
          </w:tcPr>
          <w:p w14:paraId="49F8C804" w14:textId="12CD456F" w:rsidR="00AF7596" w:rsidRPr="00F77189" w:rsidRDefault="00AF7596" w:rsidP="003F1854">
            <w:pPr>
              <w:contextualSpacing/>
              <w:jc w:val="center"/>
            </w:pPr>
            <w:r>
              <w:t>P</w:t>
            </w:r>
          </w:p>
        </w:tc>
        <w:tc>
          <w:tcPr>
            <w:tcW w:w="797" w:type="dxa"/>
            <w:tcBorders>
              <w:bottom w:val="single" w:sz="4" w:space="0" w:color="auto"/>
            </w:tcBorders>
            <w:vAlign w:val="center"/>
          </w:tcPr>
          <w:p w14:paraId="681E2FD2" w14:textId="67ED6CCB" w:rsidR="00AF7596" w:rsidRPr="00F77189" w:rsidRDefault="00AF7596" w:rsidP="003F1854">
            <w:pPr>
              <w:contextualSpacing/>
              <w:jc w:val="center"/>
            </w:pPr>
            <w:r>
              <w:t>P</w:t>
            </w:r>
          </w:p>
        </w:tc>
        <w:tc>
          <w:tcPr>
            <w:tcW w:w="738" w:type="dxa"/>
            <w:tcBorders>
              <w:bottom w:val="single" w:sz="4" w:space="0" w:color="auto"/>
            </w:tcBorders>
            <w:vAlign w:val="center"/>
          </w:tcPr>
          <w:p w14:paraId="691D7A7B" w14:textId="1A738DCD" w:rsidR="00AF7596" w:rsidRPr="00F77189" w:rsidRDefault="00AF7596" w:rsidP="003F1854">
            <w:pPr>
              <w:contextualSpacing/>
              <w:jc w:val="center"/>
            </w:pPr>
            <w:r>
              <w:t>P</w:t>
            </w:r>
          </w:p>
        </w:tc>
        <w:tc>
          <w:tcPr>
            <w:tcW w:w="788" w:type="dxa"/>
            <w:tcBorders>
              <w:bottom w:val="single" w:sz="4" w:space="0" w:color="auto"/>
            </w:tcBorders>
            <w:vAlign w:val="center"/>
          </w:tcPr>
          <w:p w14:paraId="2AF0AFCE" w14:textId="2B0B888E" w:rsidR="00AF7596" w:rsidRPr="00F77189" w:rsidRDefault="00AF7596" w:rsidP="003F1854">
            <w:pPr>
              <w:contextualSpacing/>
              <w:jc w:val="center"/>
            </w:pPr>
            <w:r>
              <w:t>P</w:t>
            </w:r>
          </w:p>
        </w:tc>
        <w:tc>
          <w:tcPr>
            <w:tcW w:w="689" w:type="dxa"/>
            <w:tcBorders>
              <w:bottom w:val="single" w:sz="4" w:space="0" w:color="auto"/>
            </w:tcBorders>
            <w:vAlign w:val="center"/>
          </w:tcPr>
          <w:p w14:paraId="6E95339F" w14:textId="4BB170DE" w:rsidR="00AF7596" w:rsidRPr="00F77189" w:rsidRDefault="00AF7596" w:rsidP="003F1854">
            <w:pPr>
              <w:contextualSpacing/>
              <w:jc w:val="center"/>
            </w:pPr>
            <w:r>
              <w:t>6</w:t>
            </w:r>
          </w:p>
        </w:tc>
        <w:tc>
          <w:tcPr>
            <w:tcW w:w="691" w:type="dxa"/>
            <w:tcBorders>
              <w:bottom w:val="single" w:sz="4" w:space="0" w:color="auto"/>
            </w:tcBorders>
            <w:vAlign w:val="center"/>
          </w:tcPr>
          <w:p w14:paraId="6CEA4708" w14:textId="77ED954D" w:rsidR="00AF7596" w:rsidRPr="00F77189" w:rsidRDefault="00AF7596" w:rsidP="003F1854">
            <w:pPr>
              <w:contextualSpacing/>
              <w:jc w:val="center"/>
            </w:pPr>
            <w:r w:rsidRPr="00B968AC">
              <w:t>1</w:t>
            </w:r>
          </w:p>
        </w:tc>
        <w:tc>
          <w:tcPr>
            <w:tcW w:w="692" w:type="dxa"/>
            <w:tcBorders>
              <w:bottom w:val="single" w:sz="4" w:space="0" w:color="auto"/>
              <w:right w:val="double" w:sz="4" w:space="0" w:color="auto"/>
            </w:tcBorders>
            <w:vAlign w:val="center"/>
          </w:tcPr>
          <w:p w14:paraId="72B3E9E0" w14:textId="5388E925" w:rsidR="00AF7596" w:rsidRPr="00F77189" w:rsidRDefault="00AF7596" w:rsidP="003F1854">
            <w:pPr>
              <w:contextualSpacing/>
              <w:jc w:val="center"/>
            </w:pPr>
            <w:r w:rsidRPr="00B968AC">
              <w:t>0</w:t>
            </w:r>
          </w:p>
        </w:tc>
      </w:tr>
      <w:tr w:rsidR="00AF7596" w:rsidRPr="00F77189" w14:paraId="130E5FDE"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E9B6E92" w14:textId="77777777" w:rsidR="00AF7596" w:rsidRPr="00F77189" w:rsidRDefault="00AF7596" w:rsidP="003F1854">
            <w:pPr>
              <w:contextualSpacing/>
            </w:pPr>
            <w:r>
              <w:t>Amy Pinney</w:t>
            </w:r>
          </w:p>
          <w:p w14:paraId="07D64C56" w14:textId="1BED9681" w:rsidR="00AF7596" w:rsidRPr="00F77189" w:rsidRDefault="00AF7596" w:rsidP="003F1854">
            <w:pPr>
              <w:contextualSpacing/>
              <w:rPr>
                <w:i/>
                <w:iCs/>
              </w:rPr>
            </w:pPr>
            <w:r w:rsidRPr="00F77189">
              <w:rPr>
                <w:i/>
                <w:iCs/>
              </w:rPr>
              <w:t>SAPC Chair</w:t>
            </w:r>
          </w:p>
        </w:tc>
        <w:tc>
          <w:tcPr>
            <w:tcW w:w="537" w:type="dxa"/>
            <w:vAlign w:val="center"/>
          </w:tcPr>
          <w:p w14:paraId="433B2B86" w14:textId="04B3A6F0" w:rsidR="00AF7596" w:rsidRPr="00F77189" w:rsidRDefault="00AF7596" w:rsidP="003F1854">
            <w:pPr>
              <w:contextualSpacing/>
              <w:jc w:val="center"/>
            </w:pPr>
            <w:r w:rsidRPr="00B968AC">
              <w:t>P</w:t>
            </w:r>
          </w:p>
        </w:tc>
        <w:tc>
          <w:tcPr>
            <w:tcW w:w="657" w:type="dxa"/>
            <w:tcBorders>
              <w:bottom w:val="single" w:sz="4" w:space="0" w:color="auto"/>
            </w:tcBorders>
            <w:vAlign w:val="center"/>
          </w:tcPr>
          <w:p w14:paraId="50019AEE" w14:textId="7B17F104" w:rsidR="00AF7596" w:rsidRPr="00F77189" w:rsidRDefault="00AF7596" w:rsidP="003F1854">
            <w:pPr>
              <w:contextualSpacing/>
              <w:jc w:val="center"/>
            </w:pPr>
            <w:r w:rsidRPr="00B968AC">
              <w:t>R</w:t>
            </w:r>
          </w:p>
        </w:tc>
        <w:tc>
          <w:tcPr>
            <w:tcW w:w="657" w:type="dxa"/>
            <w:tcBorders>
              <w:bottom w:val="single" w:sz="4" w:space="0" w:color="auto"/>
            </w:tcBorders>
            <w:vAlign w:val="center"/>
          </w:tcPr>
          <w:p w14:paraId="68A181D6" w14:textId="6086309F" w:rsidR="00AF7596" w:rsidRPr="00F77189" w:rsidRDefault="00AF7596" w:rsidP="003F1854">
            <w:pPr>
              <w:contextualSpacing/>
              <w:jc w:val="center"/>
            </w:pPr>
            <w:r>
              <w:t>P</w:t>
            </w:r>
          </w:p>
        </w:tc>
        <w:tc>
          <w:tcPr>
            <w:tcW w:w="657" w:type="dxa"/>
            <w:tcBorders>
              <w:bottom w:val="single" w:sz="4" w:space="0" w:color="auto"/>
            </w:tcBorders>
            <w:vAlign w:val="center"/>
          </w:tcPr>
          <w:p w14:paraId="16FEE5BB" w14:textId="17041B81" w:rsidR="00AF7596" w:rsidRPr="00F77189" w:rsidRDefault="00AF7596" w:rsidP="003F1854">
            <w:pPr>
              <w:contextualSpacing/>
              <w:jc w:val="center"/>
            </w:pPr>
            <w:r>
              <w:t>P</w:t>
            </w:r>
          </w:p>
        </w:tc>
        <w:tc>
          <w:tcPr>
            <w:tcW w:w="797" w:type="dxa"/>
            <w:tcBorders>
              <w:bottom w:val="single" w:sz="4" w:space="0" w:color="auto"/>
            </w:tcBorders>
            <w:vAlign w:val="center"/>
          </w:tcPr>
          <w:p w14:paraId="4BBFFB7E" w14:textId="139FF23E" w:rsidR="00AF7596" w:rsidRPr="00F77189" w:rsidRDefault="00AF7596" w:rsidP="003F1854">
            <w:pPr>
              <w:contextualSpacing/>
              <w:jc w:val="center"/>
            </w:pPr>
            <w:r>
              <w:t>P</w:t>
            </w:r>
          </w:p>
        </w:tc>
        <w:tc>
          <w:tcPr>
            <w:tcW w:w="738" w:type="dxa"/>
            <w:tcBorders>
              <w:bottom w:val="single" w:sz="4" w:space="0" w:color="auto"/>
            </w:tcBorders>
            <w:vAlign w:val="center"/>
          </w:tcPr>
          <w:p w14:paraId="1F1FF255" w14:textId="7A1CE7D9" w:rsidR="00AF7596" w:rsidRPr="00F77189" w:rsidRDefault="00AF7596" w:rsidP="003F1854">
            <w:pPr>
              <w:contextualSpacing/>
              <w:jc w:val="center"/>
            </w:pPr>
            <w:r>
              <w:t>P</w:t>
            </w:r>
          </w:p>
        </w:tc>
        <w:tc>
          <w:tcPr>
            <w:tcW w:w="788" w:type="dxa"/>
            <w:tcBorders>
              <w:bottom w:val="single" w:sz="4" w:space="0" w:color="auto"/>
            </w:tcBorders>
            <w:vAlign w:val="center"/>
          </w:tcPr>
          <w:p w14:paraId="27A06D63" w14:textId="7143DD78" w:rsidR="00AF7596" w:rsidRPr="00F77189" w:rsidRDefault="00AF7596" w:rsidP="003F1854">
            <w:pPr>
              <w:contextualSpacing/>
              <w:jc w:val="center"/>
            </w:pPr>
            <w:r>
              <w:t>P</w:t>
            </w:r>
          </w:p>
        </w:tc>
        <w:tc>
          <w:tcPr>
            <w:tcW w:w="689" w:type="dxa"/>
            <w:tcBorders>
              <w:bottom w:val="single" w:sz="4" w:space="0" w:color="auto"/>
            </w:tcBorders>
            <w:vAlign w:val="center"/>
          </w:tcPr>
          <w:p w14:paraId="509145E2" w14:textId="7AC9B04C" w:rsidR="00AF7596" w:rsidRPr="00F77189" w:rsidRDefault="00AF7596" w:rsidP="003F1854">
            <w:pPr>
              <w:contextualSpacing/>
              <w:jc w:val="center"/>
            </w:pPr>
            <w:r>
              <w:t>6</w:t>
            </w:r>
          </w:p>
        </w:tc>
        <w:tc>
          <w:tcPr>
            <w:tcW w:w="691" w:type="dxa"/>
            <w:tcBorders>
              <w:bottom w:val="single" w:sz="4" w:space="0" w:color="auto"/>
            </w:tcBorders>
            <w:vAlign w:val="center"/>
          </w:tcPr>
          <w:p w14:paraId="7032BD8D" w14:textId="660407F5" w:rsidR="00AF7596" w:rsidRPr="00F77189" w:rsidRDefault="00AF7596" w:rsidP="003F1854">
            <w:pPr>
              <w:contextualSpacing/>
              <w:jc w:val="center"/>
            </w:pPr>
            <w:r w:rsidRPr="00B968AC">
              <w:t>1</w:t>
            </w:r>
          </w:p>
        </w:tc>
        <w:tc>
          <w:tcPr>
            <w:tcW w:w="692" w:type="dxa"/>
            <w:tcBorders>
              <w:bottom w:val="single" w:sz="4" w:space="0" w:color="auto"/>
              <w:right w:val="double" w:sz="4" w:space="0" w:color="auto"/>
            </w:tcBorders>
            <w:vAlign w:val="center"/>
          </w:tcPr>
          <w:p w14:paraId="659EAAE1" w14:textId="26FF0FCF" w:rsidR="00AF7596" w:rsidRPr="00F77189" w:rsidRDefault="00AF7596" w:rsidP="003F1854">
            <w:pPr>
              <w:contextualSpacing/>
              <w:jc w:val="center"/>
            </w:pPr>
            <w:r w:rsidRPr="00B968AC">
              <w:t>0</w:t>
            </w:r>
          </w:p>
        </w:tc>
      </w:tr>
    </w:tbl>
    <w:p w14:paraId="48F3D223" w14:textId="1B3427D7" w:rsidR="00973FD5" w:rsidRPr="00F77189" w:rsidRDefault="00973FD5" w:rsidP="003F1854">
      <w:pPr>
        <w:tabs>
          <w:tab w:val="right" w:pos="14314"/>
        </w:tabs>
        <w:contextualSpacing/>
        <w:rPr>
          <w:u w:val="single"/>
        </w:rPr>
      </w:pPr>
    </w:p>
    <w:sectPr w:rsidR="00973FD5" w:rsidRPr="00F77189" w:rsidSect="009C6C7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3AA2C" w14:textId="77777777" w:rsidR="006E282D" w:rsidRDefault="006E282D">
      <w:r>
        <w:separator/>
      </w:r>
    </w:p>
  </w:endnote>
  <w:endnote w:type="continuationSeparator" w:id="0">
    <w:p w14:paraId="05666210" w14:textId="77777777" w:rsidR="006E282D" w:rsidRDefault="006E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1BCD3D08" w:rsidR="00FC4624" w:rsidRPr="007E54DC" w:rsidRDefault="003F1854" w:rsidP="0009303C">
    <w:pPr>
      <w:pStyle w:val="Footer"/>
      <w:tabs>
        <w:tab w:val="clear" w:pos="8640"/>
        <w:tab w:val="right" w:pos="14310"/>
      </w:tabs>
    </w:pPr>
    <w:r w:rsidRPr="003F1854">
      <w:rPr>
        <w:i/>
      </w:rPr>
      <w:t>4</w:t>
    </w:r>
    <w:r w:rsidR="00FC4624" w:rsidRPr="003F1854">
      <w:rPr>
        <w:i/>
      </w:rPr>
      <w:t xml:space="preserve"> </w:t>
    </w:r>
    <w:r w:rsidRPr="003F1854">
      <w:rPr>
        <w:i/>
      </w:rPr>
      <w:t>Apr</w:t>
    </w:r>
    <w:r w:rsidR="00FC4624" w:rsidRPr="003F1854">
      <w:rPr>
        <w:i/>
      </w:rPr>
      <w:t xml:space="preserve"> 202</w:t>
    </w:r>
    <w:r w:rsidRPr="003F1854">
      <w:rPr>
        <w:i/>
      </w:rPr>
      <w:t>5</w:t>
    </w:r>
    <w:r w:rsidR="00FC4624" w:rsidRPr="00385907">
      <w:rPr>
        <w:i/>
        <w:color w:val="FF0000"/>
      </w:rPr>
      <w:t xml:space="preserve"> </w:t>
    </w:r>
    <w:r w:rsidR="00FC4624" w:rsidRPr="007E54DC">
      <w:rPr>
        <w:i/>
      </w:rPr>
      <w:t>ECUS-SCC Meeting Minutes (</w:t>
    </w:r>
    <w:proofErr w:type="gramStart"/>
    <w:r w:rsidR="00967871">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9277" w14:textId="77777777" w:rsidR="006E282D" w:rsidRDefault="006E282D">
      <w:r>
        <w:separator/>
      </w:r>
    </w:p>
  </w:footnote>
  <w:footnote w:type="continuationSeparator" w:id="0">
    <w:p w14:paraId="4AEEB22D" w14:textId="77777777" w:rsidR="006E282D" w:rsidRDefault="006E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765"/>
    <w:multiLevelType w:val="hybridMultilevel"/>
    <w:tmpl w:val="57B67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1134"/>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A46FD"/>
    <w:multiLevelType w:val="hybridMultilevel"/>
    <w:tmpl w:val="C092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21F90"/>
    <w:multiLevelType w:val="hybridMultilevel"/>
    <w:tmpl w:val="7ADA9786"/>
    <w:lvl w:ilvl="0" w:tplc="5516B02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666E3"/>
    <w:multiLevelType w:val="hybridMultilevel"/>
    <w:tmpl w:val="2910BC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52538"/>
    <w:multiLevelType w:val="hybridMultilevel"/>
    <w:tmpl w:val="5F1E8C8A"/>
    <w:lvl w:ilvl="0" w:tplc="49CC88E8">
      <w:start w:val="1"/>
      <w:numFmt w:val="decimal"/>
      <w:lvlText w:val="%1."/>
      <w:lvlJc w:val="left"/>
      <w:pPr>
        <w:ind w:left="720" w:hanging="360"/>
      </w:pPr>
      <w:rPr>
        <w:rFonts w:hint="default"/>
        <w:b w:val="0"/>
        <w:bCs/>
      </w:rPr>
    </w:lvl>
    <w:lvl w:ilvl="1" w:tplc="F35231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7739A"/>
    <w:multiLevelType w:val="multilevel"/>
    <w:tmpl w:val="ED3A632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4"/>
  </w:num>
  <w:num w:numId="2" w16cid:durableId="19760623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7"/>
  </w:num>
  <w:num w:numId="4" w16cid:durableId="2006087695">
    <w:abstractNumId w:val="35"/>
  </w:num>
  <w:num w:numId="5" w16cid:durableId="1110122240">
    <w:abstractNumId w:val="1"/>
  </w:num>
  <w:num w:numId="6" w16cid:durableId="615022256">
    <w:abstractNumId w:val="37"/>
  </w:num>
  <w:num w:numId="7" w16cid:durableId="1540123946">
    <w:abstractNumId w:val="11"/>
  </w:num>
  <w:num w:numId="8" w16cid:durableId="818696619">
    <w:abstractNumId w:val="30"/>
  </w:num>
  <w:num w:numId="9" w16cid:durableId="908883776">
    <w:abstractNumId w:val="5"/>
  </w:num>
  <w:num w:numId="10" w16cid:durableId="1802841311">
    <w:abstractNumId w:val="41"/>
  </w:num>
  <w:num w:numId="11" w16cid:durableId="1068652384">
    <w:abstractNumId w:val="9"/>
  </w:num>
  <w:num w:numId="12" w16cid:durableId="1406804359">
    <w:abstractNumId w:val="22"/>
  </w:num>
  <w:num w:numId="13" w16cid:durableId="2017876987">
    <w:abstractNumId w:val="39"/>
  </w:num>
  <w:num w:numId="14" w16cid:durableId="433212376">
    <w:abstractNumId w:val="19"/>
  </w:num>
  <w:num w:numId="15" w16cid:durableId="2092962778">
    <w:abstractNumId w:val="16"/>
  </w:num>
  <w:num w:numId="16" w16cid:durableId="1138454405">
    <w:abstractNumId w:val="2"/>
  </w:num>
  <w:num w:numId="17" w16cid:durableId="1424260483">
    <w:abstractNumId w:val="32"/>
  </w:num>
  <w:num w:numId="18" w16cid:durableId="1930389458">
    <w:abstractNumId w:val="34"/>
  </w:num>
  <w:num w:numId="19" w16cid:durableId="970018662">
    <w:abstractNumId w:val="33"/>
  </w:num>
  <w:num w:numId="20" w16cid:durableId="1820145736">
    <w:abstractNumId w:val="26"/>
  </w:num>
  <w:num w:numId="21" w16cid:durableId="825166251">
    <w:abstractNumId w:val="36"/>
  </w:num>
  <w:num w:numId="22" w16cid:durableId="367225435">
    <w:abstractNumId w:val="29"/>
  </w:num>
  <w:num w:numId="23" w16cid:durableId="622927406">
    <w:abstractNumId w:val="20"/>
  </w:num>
  <w:num w:numId="24" w16cid:durableId="1548377508">
    <w:abstractNumId w:val="21"/>
  </w:num>
  <w:num w:numId="25" w16cid:durableId="2132281888">
    <w:abstractNumId w:val="8"/>
  </w:num>
  <w:num w:numId="26" w16cid:durableId="561645945">
    <w:abstractNumId w:val="4"/>
  </w:num>
  <w:num w:numId="27" w16cid:durableId="335498595">
    <w:abstractNumId w:val="23"/>
  </w:num>
  <w:num w:numId="28" w16cid:durableId="334185762">
    <w:abstractNumId w:val="27"/>
  </w:num>
  <w:num w:numId="29" w16cid:durableId="1292787660">
    <w:abstractNumId w:val="10"/>
  </w:num>
  <w:num w:numId="30" w16cid:durableId="710618015">
    <w:abstractNumId w:val="6"/>
  </w:num>
  <w:num w:numId="31" w16cid:durableId="972371949">
    <w:abstractNumId w:val="18"/>
  </w:num>
  <w:num w:numId="32" w16cid:durableId="1430736882">
    <w:abstractNumId w:val="13"/>
  </w:num>
  <w:num w:numId="33" w16cid:durableId="1451436287">
    <w:abstractNumId w:val="7"/>
  </w:num>
  <w:num w:numId="34" w16cid:durableId="799423088">
    <w:abstractNumId w:val="15"/>
  </w:num>
  <w:num w:numId="35" w16cid:durableId="1486242581">
    <w:abstractNumId w:val="0"/>
  </w:num>
  <w:num w:numId="36" w16cid:durableId="1023823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875493">
    <w:abstractNumId w:val="31"/>
  </w:num>
  <w:num w:numId="38" w16cid:durableId="1090850978">
    <w:abstractNumId w:val="3"/>
  </w:num>
  <w:num w:numId="39" w16cid:durableId="284239726">
    <w:abstractNumId w:val="14"/>
  </w:num>
  <w:num w:numId="40" w16cid:durableId="698311552">
    <w:abstractNumId w:val="40"/>
  </w:num>
  <w:num w:numId="41" w16cid:durableId="1927229777">
    <w:abstractNumId w:val="12"/>
  </w:num>
  <w:num w:numId="42" w16cid:durableId="1897010271">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58"/>
    <w:rsid w:val="0003086F"/>
    <w:rsid w:val="00032FF7"/>
    <w:rsid w:val="00037DDE"/>
    <w:rsid w:val="0004118F"/>
    <w:rsid w:val="0004173C"/>
    <w:rsid w:val="00042386"/>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0648"/>
    <w:rsid w:val="000F3792"/>
    <w:rsid w:val="000F3A44"/>
    <w:rsid w:val="000F4925"/>
    <w:rsid w:val="000F4E9D"/>
    <w:rsid w:val="00102B3D"/>
    <w:rsid w:val="00103B24"/>
    <w:rsid w:val="00104BF3"/>
    <w:rsid w:val="0010559F"/>
    <w:rsid w:val="0010774F"/>
    <w:rsid w:val="00107CCD"/>
    <w:rsid w:val="001107E2"/>
    <w:rsid w:val="001214C4"/>
    <w:rsid w:val="00122214"/>
    <w:rsid w:val="001239B2"/>
    <w:rsid w:val="00143F90"/>
    <w:rsid w:val="001454CA"/>
    <w:rsid w:val="0014666D"/>
    <w:rsid w:val="001534E1"/>
    <w:rsid w:val="001568EE"/>
    <w:rsid w:val="001645F7"/>
    <w:rsid w:val="00164A00"/>
    <w:rsid w:val="00171EE3"/>
    <w:rsid w:val="001736BC"/>
    <w:rsid w:val="00174638"/>
    <w:rsid w:val="00175ED7"/>
    <w:rsid w:val="00176EC2"/>
    <w:rsid w:val="00181F87"/>
    <w:rsid w:val="001822D6"/>
    <w:rsid w:val="00182B66"/>
    <w:rsid w:val="00190F09"/>
    <w:rsid w:val="00192D1B"/>
    <w:rsid w:val="001A2105"/>
    <w:rsid w:val="001A74E1"/>
    <w:rsid w:val="001B0733"/>
    <w:rsid w:val="001B0887"/>
    <w:rsid w:val="001B28B8"/>
    <w:rsid w:val="001B3020"/>
    <w:rsid w:val="001B417D"/>
    <w:rsid w:val="001C0C06"/>
    <w:rsid w:val="001C21E3"/>
    <w:rsid w:val="001C4D3A"/>
    <w:rsid w:val="001C7F61"/>
    <w:rsid w:val="001D0605"/>
    <w:rsid w:val="001D0900"/>
    <w:rsid w:val="001D44E1"/>
    <w:rsid w:val="001E04DA"/>
    <w:rsid w:val="001E0BD7"/>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0BC2"/>
    <w:rsid w:val="002D0EB9"/>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75153"/>
    <w:rsid w:val="003821DA"/>
    <w:rsid w:val="00385907"/>
    <w:rsid w:val="0039176F"/>
    <w:rsid w:val="003A1462"/>
    <w:rsid w:val="003A4E09"/>
    <w:rsid w:val="003A51D3"/>
    <w:rsid w:val="003B231C"/>
    <w:rsid w:val="003B3BAD"/>
    <w:rsid w:val="003B5666"/>
    <w:rsid w:val="003B5750"/>
    <w:rsid w:val="003B57D6"/>
    <w:rsid w:val="003B7781"/>
    <w:rsid w:val="003C3C8D"/>
    <w:rsid w:val="003C603C"/>
    <w:rsid w:val="003C702A"/>
    <w:rsid w:val="003D2AF7"/>
    <w:rsid w:val="003D3058"/>
    <w:rsid w:val="003E4149"/>
    <w:rsid w:val="003F0E8A"/>
    <w:rsid w:val="003F1854"/>
    <w:rsid w:val="003F4AA3"/>
    <w:rsid w:val="004008A0"/>
    <w:rsid w:val="00400D60"/>
    <w:rsid w:val="0040277F"/>
    <w:rsid w:val="0040653E"/>
    <w:rsid w:val="00410043"/>
    <w:rsid w:val="00410B64"/>
    <w:rsid w:val="00413013"/>
    <w:rsid w:val="00417222"/>
    <w:rsid w:val="00420462"/>
    <w:rsid w:val="00421128"/>
    <w:rsid w:val="00431C5A"/>
    <w:rsid w:val="00436400"/>
    <w:rsid w:val="0043725A"/>
    <w:rsid w:val="00442114"/>
    <w:rsid w:val="00443496"/>
    <w:rsid w:val="00447A2A"/>
    <w:rsid w:val="00451CEE"/>
    <w:rsid w:val="00454BBD"/>
    <w:rsid w:val="00454F68"/>
    <w:rsid w:val="00455A30"/>
    <w:rsid w:val="00457719"/>
    <w:rsid w:val="004578DF"/>
    <w:rsid w:val="004606B0"/>
    <w:rsid w:val="0046649B"/>
    <w:rsid w:val="0047331C"/>
    <w:rsid w:val="004746CD"/>
    <w:rsid w:val="0047678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076"/>
    <w:rsid w:val="00615E39"/>
    <w:rsid w:val="0061637C"/>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C415D"/>
    <w:rsid w:val="006D0B3A"/>
    <w:rsid w:val="006D140E"/>
    <w:rsid w:val="006D5E3C"/>
    <w:rsid w:val="006E09CB"/>
    <w:rsid w:val="006E1C23"/>
    <w:rsid w:val="006E282D"/>
    <w:rsid w:val="006E6389"/>
    <w:rsid w:val="006F1CE2"/>
    <w:rsid w:val="006F53EF"/>
    <w:rsid w:val="00700394"/>
    <w:rsid w:val="00701721"/>
    <w:rsid w:val="00706B5E"/>
    <w:rsid w:val="0071360E"/>
    <w:rsid w:val="00713E44"/>
    <w:rsid w:val="00714174"/>
    <w:rsid w:val="00715E07"/>
    <w:rsid w:val="00715F27"/>
    <w:rsid w:val="00723E61"/>
    <w:rsid w:val="00724B54"/>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77915"/>
    <w:rsid w:val="00782758"/>
    <w:rsid w:val="00783F5A"/>
    <w:rsid w:val="007867FD"/>
    <w:rsid w:val="0079008F"/>
    <w:rsid w:val="00790D29"/>
    <w:rsid w:val="00795292"/>
    <w:rsid w:val="0079738C"/>
    <w:rsid w:val="00797F27"/>
    <w:rsid w:val="007A1D24"/>
    <w:rsid w:val="007A508F"/>
    <w:rsid w:val="007A627B"/>
    <w:rsid w:val="007A7FAB"/>
    <w:rsid w:val="007B1877"/>
    <w:rsid w:val="007B7D38"/>
    <w:rsid w:val="007C05F2"/>
    <w:rsid w:val="007C72DC"/>
    <w:rsid w:val="007C778B"/>
    <w:rsid w:val="007C7CE2"/>
    <w:rsid w:val="007D2387"/>
    <w:rsid w:val="007D53FB"/>
    <w:rsid w:val="007E0893"/>
    <w:rsid w:val="007E54DC"/>
    <w:rsid w:val="007F4211"/>
    <w:rsid w:val="007F5CAC"/>
    <w:rsid w:val="008006DD"/>
    <w:rsid w:val="00801DC1"/>
    <w:rsid w:val="00803F4B"/>
    <w:rsid w:val="008062BA"/>
    <w:rsid w:val="00806BE2"/>
    <w:rsid w:val="008301F8"/>
    <w:rsid w:val="00830FBA"/>
    <w:rsid w:val="008328A4"/>
    <w:rsid w:val="008331D3"/>
    <w:rsid w:val="00834585"/>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5D4D"/>
    <w:rsid w:val="008C75DF"/>
    <w:rsid w:val="008D406C"/>
    <w:rsid w:val="008D5360"/>
    <w:rsid w:val="008E64EE"/>
    <w:rsid w:val="008E74C3"/>
    <w:rsid w:val="008F0056"/>
    <w:rsid w:val="008F022D"/>
    <w:rsid w:val="008F1FBA"/>
    <w:rsid w:val="008F2BD4"/>
    <w:rsid w:val="008F31A6"/>
    <w:rsid w:val="008F6C1D"/>
    <w:rsid w:val="00912CF2"/>
    <w:rsid w:val="00920956"/>
    <w:rsid w:val="009337C9"/>
    <w:rsid w:val="0093491D"/>
    <w:rsid w:val="00937530"/>
    <w:rsid w:val="0093775D"/>
    <w:rsid w:val="00940D7D"/>
    <w:rsid w:val="00941BDF"/>
    <w:rsid w:val="00947CF9"/>
    <w:rsid w:val="00964BA4"/>
    <w:rsid w:val="0096712D"/>
    <w:rsid w:val="00967871"/>
    <w:rsid w:val="00967EF8"/>
    <w:rsid w:val="00971AB4"/>
    <w:rsid w:val="009732F9"/>
    <w:rsid w:val="00973FD5"/>
    <w:rsid w:val="0097427D"/>
    <w:rsid w:val="00977994"/>
    <w:rsid w:val="0098066E"/>
    <w:rsid w:val="00981D56"/>
    <w:rsid w:val="00982D9F"/>
    <w:rsid w:val="00983512"/>
    <w:rsid w:val="009839A2"/>
    <w:rsid w:val="0098608B"/>
    <w:rsid w:val="0099132E"/>
    <w:rsid w:val="009915FE"/>
    <w:rsid w:val="00994305"/>
    <w:rsid w:val="009A0992"/>
    <w:rsid w:val="009A5A06"/>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478E3"/>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371"/>
    <w:rsid w:val="00AC6689"/>
    <w:rsid w:val="00AD3488"/>
    <w:rsid w:val="00AD4A09"/>
    <w:rsid w:val="00AD712B"/>
    <w:rsid w:val="00AE043E"/>
    <w:rsid w:val="00AE2606"/>
    <w:rsid w:val="00AE28D6"/>
    <w:rsid w:val="00AE4E8C"/>
    <w:rsid w:val="00AE5DC0"/>
    <w:rsid w:val="00AF0C83"/>
    <w:rsid w:val="00AF4AA1"/>
    <w:rsid w:val="00AF7596"/>
    <w:rsid w:val="00B06B51"/>
    <w:rsid w:val="00B0712F"/>
    <w:rsid w:val="00B07649"/>
    <w:rsid w:val="00B11C50"/>
    <w:rsid w:val="00B11D96"/>
    <w:rsid w:val="00B126C1"/>
    <w:rsid w:val="00B15E39"/>
    <w:rsid w:val="00B166F3"/>
    <w:rsid w:val="00B16C18"/>
    <w:rsid w:val="00B4624F"/>
    <w:rsid w:val="00B53E36"/>
    <w:rsid w:val="00B53E8C"/>
    <w:rsid w:val="00B56A45"/>
    <w:rsid w:val="00B602FB"/>
    <w:rsid w:val="00B65341"/>
    <w:rsid w:val="00B717B8"/>
    <w:rsid w:val="00B72C63"/>
    <w:rsid w:val="00B72E72"/>
    <w:rsid w:val="00B741D9"/>
    <w:rsid w:val="00B80200"/>
    <w:rsid w:val="00B8178C"/>
    <w:rsid w:val="00B8248D"/>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6488"/>
    <w:rsid w:val="00C2204C"/>
    <w:rsid w:val="00C23A4B"/>
    <w:rsid w:val="00C36C92"/>
    <w:rsid w:val="00C371EB"/>
    <w:rsid w:val="00C4248B"/>
    <w:rsid w:val="00C503C3"/>
    <w:rsid w:val="00C52D26"/>
    <w:rsid w:val="00C52D72"/>
    <w:rsid w:val="00C55C24"/>
    <w:rsid w:val="00C6422C"/>
    <w:rsid w:val="00C646E6"/>
    <w:rsid w:val="00C672CE"/>
    <w:rsid w:val="00C7532B"/>
    <w:rsid w:val="00C804E3"/>
    <w:rsid w:val="00C82642"/>
    <w:rsid w:val="00C8539E"/>
    <w:rsid w:val="00C86302"/>
    <w:rsid w:val="00C90082"/>
    <w:rsid w:val="00C936B4"/>
    <w:rsid w:val="00C95266"/>
    <w:rsid w:val="00CA3588"/>
    <w:rsid w:val="00CA52CB"/>
    <w:rsid w:val="00CA6CD4"/>
    <w:rsid w:val="00CB0B49"/>
    <w:rsid w:val="00CB1256"/>
    <w:rsid w:val="00CB2506"/>
    <w:rsid w:val="00CB27A2"/>
    <w:rsid w:val="00CB3243"/>
    <w:rsid w:val="00CB34D7"/>
    <w:rsid w:val="00CC28CF"/>
    <w:rsid w:val="00CC2955"/>
    <w:rsid w:val="00CC3613"/>
    <w:rsid w:val="00CC49A0"/>
    <w:rsid w:val="00CC5198"/>
    <w:rsid w:val="00CC7CF1"/>
    <w:rsid w:val="00CC7DDF"/>
    <w:rsid w:val="00CD0911"/>
    <w:rsid w:val="00CD0BBB"/>
    <w:rsid w:val="00CD2C81"/>
    <w:rsid w:val="00CD5E77"/>
    <w:rsid w:val="00CE1F0E"/>
    <w:rsid w:val="00CE7A5B"/>
    <w:rsid w:val="00CF082A"/>
    <w:rsid w:val="00CF31A3"/>
    <w:rsid w:val="00CF7C99"/>
    <w:rsid w:val="00D102F3"/>
    <w:rsid w:val="00D167E9"/>
    <w:rsid w:val="00D171B9"/>
    <w:rsid w:val="00D21461"/>
    <w:rsid w:val="00D237BD"/>
    <w:rsid w:val="00D27CA7"/>
    <w:rsid w:val="00D27F4C"/>
    <w:rsid w:val="00D3100C"/>
    <w:rsid w:val="00D40396"/>
    <w:rsid w:val="00D51C0A"/>
    <w:rsid w:val="00D5524D"/>
    <w:rsid w:val="00D55D77"/>
    <w:rsid w:val="00D61215"/>
    <w:rsid w:val="00D6348A"/>
    <w:rsid w:val="00D65C50"/>
    <w:rsid w:val="00D65F22"/>
    <w:rsid w:val="00D71AC5"/>
    <w:rsid w:val="00D7369E"/>
    <w:rsid w:val="00D750D5"/>
    <w:rsid w:val="00D76682"/>
    <w:rsid w:val="00D77482"/>
    <w:rsid w:val="00D80897"/>
    <w:rsid w:val="00D8122E"/>
    <w:rsid w:val="00D82411"/>
    <w:rsid w:val="00D84EFB"/>
    <w:rsid w:val="00D873A7"/>
    <w:rsid w:val="00D9078A"/>
    <w:rsid w:val="00D90FB5"/>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4358"/>
    <w:rsid w:val="00EA0D21"/>
    <w:rsid w:val="00EA228A"/>
    <w:rsid w:val="00EA38E6"/>
    <w:rsid w:val="00EA52B0"/>
    <w:rsid w:val="00EB26B5"/>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27D1E"/>
    <w:rsid w:val="00F40B2A"/>
    <w:rsid w:val="00F459A1"/>
    <w:rsid w:val="00F52FCA"/>
    <w:rsid w:val="00F56332"/>
    <w:rsid w:val="00F56589"/>
    <w:rsid w:val="00F566A5"/>
    <w:rsid w:val="00F6093D"/>
    <w:rsid w:val="00F61000"/>
    <w:rsid w:val="00F63B67"/>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282D"/>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paragraph" w:styleId="CommentText">
    <w:name w:val="annotation text"/>
    <w:basedOn w:val="Normal"/>
    <w:link w:val="CommentTextChar"/>
    <w:uiPriority w:val="99"/>
    <w:unhideWhenUsed/>
    <w:rsid w:val="00375153"/>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375153"/>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sites/default/files/documents/2021-07/Professional%20Leave%20at%20GC%20July%202021%20updat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2" Type="http://schemas.openxmlformats.org/officeDocument/2006/relationships/hyperlink" Target="https://gcsu.smartcatalogiq.com/en/policy-manual/policy-manual/academic-affairs/employmentpolicies-procedures-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4" Type="http://schemas.openxmlformats.org/officeDocument/2006/relationships/webSettings" Target="webSettings.xml"/><Relationship Id="rId9" Type="http://schemas.openxmlformats.org/officeDocument/2006/relationships/hyperlink" Target="https://georgiacollege-bsucw.formstack.com/forms/academic_affairs_professional_leave_of_absence_appl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cp:revision>
  <cp:lastPrinted>2010-01-12T23:20:00Z</cp:lastPrinted>
  <dcterms:created xsi:type="dcterms:W3CDTF">2025-09-06T14:29:00Z</dcterms:created>
  <dcterms:modified xsi:type="dcterms:W3CDTF">2025-09-06T14:29:00Z</dcterms:modified>
</cp:coreProperties>
</file>