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B8" w:rsidRPr="005617AA" w:rsidRDefault="00EE65B8" w:rsidP="005E2B4F">
      <w:pPr>
        <w:spacing w:line="240" w:lineRule="auto"/>
        <w:ind w:firstLine="0"/>
        <w:jc w:val="center"/>
        <w:rPr>
          <w:b/>
          <w:sz w:val="28"/>
          <w:szCs w:val="28"/>
        </w:rPr>
      </w:pPr>
      <w:r w:rsidRPr="005617AA">
        <w:rPr>
          <w:b/>
          <w:sz w:val="28"/>
          <w:szCs w:val="28"/>
        </w:rPr>
        <w:t>University Senate Meeting Agenda</w:t>
      </w:r>
    </w:p>
    <w:p w:rsidR="00EE65B8" w:rsidRDefault="00164CF1" w:rsidP="00EE65B8">
      <w:pPr>
        <w:spacing w:line="240" w:lineRule="auto"/>
        <w:ind w:firstLine="0"/>
        <w:jc w:val="center"/>
      </w:pPr>
      <w:r>
        <w:t xml:space="preserve">Scheduled for Friday, </w:t>
      </w:r>
      <w:r w:rsidR="00C30730">
        <w:t>November 18</w:t>
      </w:r>
      <w:r>
        <w:t xml:space="preserve">, </w:t>
      </w:r>
      <w:r w:rsidR="00EE65B8">
        <w:t>201</w:t>
      </w:r>
      <w:r>
        <w:t>6 at 3:30 PM</w:t>
      </w:r>
    </w:p>
    <w:p w:rsidR="00EE65B8" w:rsidRDefault="00EE65B8" w:rsidP="00EE65B8">
      <w:pPr>
        <w:spacing w:line="240" w:lineRule="auto"/>
        <w:ind w:firstLine="0"/>
        <w:jc w:val="center"/>
      </w:pPr>
      <w:r>
        <w:t>Location</w:t>
      </w:r>
      <w:r w:rsidR="00164CF1">
        <w:t>:</w:t>
      </w:r>
      <w:r>
        <w:t xml:space="preserve"> Arts &amp; Sciences 2-72</w:t>
      </w:r>
    </w:p>
    <w:tbl>
      <w:tblPr>
        <w:tblStyle w:val="TableGrid"/>
        <w:tblW w:w="0" w:type="auto"/>
        <w:tblLook w:val="04A0" w:firstRow="1" w:lastRow="0" w:firstColumn="1" w:lastColumn="0" w:noHBand="0" w:noVBand="1"/>
      </w:tblPr>
      <w:tblGrid>
        <w:gridCol w:w="738"/>
        <w:gridCol w:w="8442"/>
        <w:gridCol w:w="1620"/>
      </w:tblGrid>
      <w:tr w:rsidR="00EE65B8" w:rsidRPr="00E52FF7" w:rsidTr="002B21CD">
        <w:tc>
          <w:tcPr>
            <w:tcW w:w="738" w:type="dxa"/>
            <w:tcBorders>
              <w:top w:val="nil"/>
              <w:left w:val="nil"/>
              <w:bottom w:val="single" w:sz="4" w:space="0" w:color="auto"/>
              <w:right w:val="nil"/>
            </w:tcBorders>
          </w:tcPr>
          <w:p w:rsidR="00EE65B8" w:rsidRPr="00E52FF7" w:rsidRDefault="00EE65B8" w:rsidP="005E7A0F">
            <w:pPr>
              <w:spacing w:before="60" w:after="60" w:line="240" w:lineRule="auto"/>
              <w:ind w:firstLine="0"/>
              <w:rPr>
                <w:b/>
                <w:sz w:val="22"/>
              </w:rPr>
            </w:pPr>
          </w:p>
        </w:tc>
        <w:tc>
          <w:tcPr>
            <w:tcW w:w="8442" w:type="dxa"/>
            <w:tcBorders>
              <w:top w:val="nil"/>
              <w:left w:val="nil"/>
              <w:bottom w:val="single" w:sz="4" w:space="0" w:color="auto"/>
              <w:right w:val="nil"/>
            </w:tcBorders>
          </w:tcPr>
          <w:p w:rsidR="00EE65B8" w:rsidRPr="00E52FF7" w:rsidRDefault="00EE65B8" w:rsidP="00480187">
            <w:pPr>
              <w:spacing w:before="60" w:after="60" w:line="240" w:lineRule="auto"/>
              <w:ind w:firstLine="0"/>
              <w:rPr>
                <w:b/>
                <w:sz w:val="22"/>
              </w:rPr>
            </w:pPr>
            <w:r w:rsidRPr="00E52FF7">
              <w:rPr>
                <w:b/>
                <w:sz w:val="22"/>
              </w:rPr>
              <w:t>Agenda Item</w:t>
            </w:r>
            <w:r w:rsidR="001369AB" w:rsidRPr="00E52FF7">
              <w:rPr>
                <w:b/>
                <w:sz w:val="22"/>
              </w:rPr>
              <w:t xml:space="preserve"> and Presenter</w:t>
            </w:r>
          </w:p>
        </w:tc>
        <w:tc>
          <w:tcPr>
            <w:tcW w:w="1620" w:type="dxa"/>
            <w:tcBorders>
              <w:top w:val="nil"/>
              <w:left w:val="nil"/>
              <w:bottom w:val="single" w:sz="4" w:space="0" w:color="auto"/>
              <w:right w:val="nil"/>
            </w:tcBorders>
          </w:tcPr>
          <w:p w:rsidR="00EE65B8" w:rsidRPr="00E52FF7" w:rsidRDefault="005E7A0F" w:rsidP="005E7A0F">
            <w:pPr>
              <w:spacing w:before="60" w:after="60" w:line="240" w:lineRule="auto"/>
              <w:ind w:firstLine="0"/>
              <w:rPr>
                <w:b/>
                <w:sz w:val="22"/>
              </w:rPr>
            </w:pPr>
            <w:r w:rsidRPr="00E52FF7">
              <w:rPr>
                <w:b/>
                <w:sz w:val="22"/>
              </w:rPr>
              <w:t>Vote Required</w:t>
            </w:r>
          </w:p>
        </w:tc>
      </w:tr>
      <w:tr w:rsidR="00EE65B8" w:rsidRPr="00E52FF7" w:rsidTr="002B21CD">
        <w:tc>
          <w:tcPr>
            <w:tcW w:w="738" w:type="dxa"/>
            <w:tcBorders>
              <w:top w:val="single" w:sz="4" w:space="0" w:color="auto"/>
              <w:left w:val="single" w:sz="4" w:space="0" w:color="auto"/>
              <w:bottom w:val="nil"/>
              <w:right w:val="nil"/>
            </w:tcBorders>
          </w:tcPr>
          <w:p w:rsidR="00EE65B8" w:rsidRPr="00E52FF7" w:rsidRDefault="00EE65B8" w:rsidP="00DD5683">
            <w:pPr>
              <w:spacing w:before="60" w:after="60" w:line="240" w:lineRule="auto"/>
              <w:ind w:firstLine="0"/>
              <w:rPr>
                <w:b/>
                <w:sz w:val="22"/>
              </w:rPr>
            </w:pPr>
          </w:p>
        </w:tc>
        <w:tc>
          <w:tcPr>
            <w:tcW w:w="8442" w:type="dxa"/>
            <w:tcBorders>
              <w:top w:val="single" w:sz="4" w:space="0" w:color="auto"/>
              <w:left w:val="nil"/>
              <w:bottom w:val="nil"/>
              <w:right w:val="nil"/>
            </w:tcBorders>
          </w:tcPr>
          <w:p w:rsidR="00EE65B8" w:rsidRPr="00E52FF7" w:rsidRDefault="00EE65B8" w:rsidP="0042735A">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 xml:space="preserve">Call to Order </w:t>
            </w:r>
            <w:r w:rsidRPr="00E52FF7">
              <w:rPr>
                <w:rFonts w:asciiTheme="minorHAnsi" w:hAnsiTheme="minorHAnsi"/>
                <w:b w:val="0"/>
                <w:sz w:val="22"/>
                <w:szCs w:val="22"/>
              </w:rPr>
              <w:t xml:space="preserve">– </w:t>
            </w:r>
            <w:r w:rsidR="0042735A" w:rsidRPr="00E52FF7">
              <w:rPr>
                <w:rFonts w:asciiTheme="minorHAnsi" w:hAnsiTheme="minorHAnsi"/>
                <w:b w:val="0"/>
                <w:sz w:val="22"/>
                <w:szCs w:val="22"/>
              </w:rPr>
              <w:t>Chavonda Mills</w:t>
            </w:r>
            <w:r w:rsidRPr="00E52FF7">
              <w:rPr>
                <w:rFonts w:asciiTheme="minorHAnsi" w:hAnsiTheme="minorHAnsi"/>
                <w:b w:val="0"/>
                <w:sz w:val="22"/>
                <w:szCs w:val="22"/>
              </w:rPr>
              <w:t>, Presiding Officer</w:t>
            </w:r>
          </w:p>
        </w:tc>
        <w:tc>
          <w:tcPr>
            <w:tcW w:w="1620" w:type="dxa"/>
            <w:tcBorders>
              <w:top w:val="single" w:sz="4" w:space="0" w:color="auto"/>
              <w:left w:val="nil"/>
              <w:bottom w:val="nil"/>
              <w:right w:val="single" w:sz="4" w:space="0" w:color="auto"/>
            </w:tcBorders>
          </w:tcPr>
          <w:p w:rsidR="00EE65B8" w:rsidRPr="00E52FF7" w:rsidRDefault="005E7A0F" w:rsidP="006A4F35">
            <w:pPr>
              <w:spacing w:before="60" w:after="60" w:line="240" w:lineRule="auto"/>
              <w:ind w:firstLine="0"/>
              <w:rPr>
                <w:b/>
                <w:sz w:val="22"/>
              </w:rPr>
            </w:pPr>
            <w:r w:rsidRPr="00E52FF7">
              <w:rPr>
                <w:b/>
                <w:sz w:val="22"/>
              </w:rPr>
              <w:t>N</w:t>
            </w:r>
            <w:r w:rsidR="006A4F35" w:rsidRPr="00E52FF7">
              <w:rPr>
                <w:b/>
                <w:sz w:val="22"/>
              </w:rPr>
              <w:t>O</w:t>
            </w:r>
          </w:p>
        </w:tc>
      </w:tr>
      <w:tr w:rsidR="00EE65B8" w:rsidRPr="00E52FF7" w:rsidTr="002B21CD">
        <w:tc>
          <w:tcPr>
            <w:tcW w:w="738" w:type="dxa"/>
            <w:tcBorders>
              <w:top w:val="nil"/>
              <w:left w:val="single" w:sz="4" w:space="0" w:color="auto"/>
              <w:bottom w:val="single" w:sz="4" w:space="0" w:color="auto"/>
              <w:right w:val="nil"/>
            </w:tcBorders>
          </w:tcPr>
          <w:p w:rsidR="00EE65B8" w:rsidRPr="00E52FF7" w:rsidRDefault="00EE65B8" w:rsidP="005E7A0F">
            <w:pPr>
              <w:spacing w:before="60" w:after="60" w:line="240" w:lineRule="auto"/>
              <w:ind w:firstLine="0"/>
              <w:rPr>
                <w:sz w:val="22"/>
              </w:rPr>
            </w:pPr>
          </w:p>
        </w:tc>
        <w:tc>
          <w:tcPr>
            <w:tcW w:w="8442" w:type="dxa"/>
            <w:tcBorders>
              <w:top w:val="nil"/>
              <w:left w:val="nil"/>
              <w:bottom w:val="single" w:sz="4" w:space="0" w:color="auto"/>
              <w:right w:val="nil"/>
            </w:tcBorders>
          </w:tcPr>
          <w:p w:rsidR="00AE0422" w:rsidRPr="00E52FF7" w:rsidRDefault="00AE0422" w:rsidP="00E76201">
            <w:pPr>
              <w:pStyle w:val="ListParagraph"/>
              <w:numPr>
                <w:ilvl w:val="0"/>
                <w:numId w:val="4"/>
              </w:numPr>
              <w:spacing w:before="60" w:after="60" w:line="240" w:lineRule="auto"/>
              <w:rPr>
                <w:sz w:val="22"/>
              </w:rPr>
            </w:pPr>
            <w:r w:rsidRPr="00E52FF7">
              <w:rPr>
                <w:b/>
                <w:sz w:val="22"/>
              </w:rPr>
              <w:t>Consent Agenda</w:t>
            </w:r>
          </w:p>
          <w:p w:rsidR="00AE2C9C" w:rsidRPr="00E52FF7" w:rsidRDefault="00D14515" w:rsidP="00AE2C9C">
            <w:pPr>
              <w:pStyle w:val="ListParagraph"/>
              <w:numPr>
                <w:ilvl w:val="0"/>
                <w:numId w:val="30"/>
              </w:numPr>
              <w:spacing w:before="60" w:after="60" w:line="240" w:lineRule="auto"/>
              <w:ind w:left="684"/>
              <w:rPr>
                <w:sz w:val="22"/>
              </w:rPr>
            </w:pPr>
            <w:r w:rsidRPr="00E52FF7">
              <w:rPr>
                <w:bCs/>
                <w:sz w:val="22"/>
              </w:rPr>
              <w:t>New Course KINS 4253</w:t>
            </w:r>
            <w:r w:rsidRPr="00E52FF7">
              <w:rPr>
                <w:sz w:val="22"/>
              </w:rPr>
              <w:t xml:space="preserve"> </w:t>
            </w:r>
            <w:r w:rsidRPr="00E52FF7">
              <w:rPr>
                <w:bCs/>
                <w:sz w:val="22"/>
              </w:rPr>
              <w:t xml:space="preserve">– Modify Existing Program </w:t>
            </w:r>
          </w:p>
          <w:p w:rsidR="00D14515" w:rsidRPr="00E52FF7" w:rsidRDefault="00D14515" w:rsidP="00AE2C9C">
            <w:pPr>
              <w:pStyle w:val="ListParagraph"/>
              <w:numPr>
                <w:ilvl w:val="0"/>
                <w:numId w:val="30"/>
              </w:numPr>
              <w:spacing w:before="60" w:after="60" w:line="240" w:lineRule="auto"/>
              <w:ind w:left="684"/>
              <w:rPr>
                <w:sz w:val="22"/>
              </w:rPr>
            </w:pPr>
            <w:r w:rsidRPr="00E52FF7">
              <w:rPr>
                <w:bCs/>
                <w:sz w:val="22"/>
              </w:rPr>
              <w:t xml:space="preserve">Internships KINS – Modify Existing Program </w:t>
            </w:r>
          </w:p>
          <w:p w:rsidR="00D14515" w:rsidRPr="00E52FF7" w:rsidRDefault="00D14515" w:rsidP="00AE2C9C">
            <w:pPr>
              <w:pStyle w:val="ListParagraph"/>
              <w:numPr>
                <w:ilvl w:val="0"/>
                <w:numId w:val="30"/>
              </w:numPr>
              <w:spacing w:before="60" w:after="60" w:line="240" w:lineRule="auto"/>
              <w:ind w:left="684"/>
              <w:rPr>
                <w:sz w:val="22"/>
              </w:rPr>
            </w:pPr>
            <w:r w:rsidRPr="00E52FF7">
              <w:rPr>
                <w:bCs/>
                <w:sz w:val="22"/>
              </w:rPr>
              <w:t>Minor in Physical Education – Modify Existing Program</w:t>
            </w:r>
          </w:p>
          <w:p w:rsidR="00D14515" w:rsidRPr="00E52FF7" w:rsidRDefault="00D14515" w:rsidP="00AE2C9C">
            <w:pPr>
              <w:pStyle w:val="ListParagraph"/>
              <w:numPr>
                <w:ilvl w:val="0"/>
                <w:numId w:val="30"/>
              </w:numPr>
              <w:spacing w:before="60" w:after="60" w:line="240" w:lineRule="auto"/>
              <w:ind w:left="684"/>
              <w:rPr>
                <w:sz w:val="22"/>
              </w:rPr>
            </w:pPr>
            <w:r w:rsidRPr="00E52FF7">
              <w:rPr>
                <w:rFonts w:ascii="Calibri" w:eastAsia="Calibri" w:hAnsi="Calibri" w:cs="Times New Roman"/>
                <w:bCs/>
                <w:sz w:val="22"/>
              </w:rPr>
              <w:t xml:space="preserve">Outdoor Education Courses </w:t>
            </w:r>
            <w:r w:rsidRPr="00E52FF7">
              <w:rPr>
                <w:bCs/>
                <w:sz w:val="22"/>
              </w:rPr>
              <w:t>– Modify Existing Program</w:t>
            </w:r>
          </w:p>
          <w:p w:rsidR="00D14515" w:rsidRPr="00E52FF7" w:rsidRDefault="00D14515" w:rsidP="00AE2C9C">
            <w:pPr>
              <w:pStyle w:val="ListParagraph"/>
              <w:numPr>
                <w:ilvl w:val="0"/>
                <w:numId w:val="30"/>
              </w:numPr>
              <w:spacing w:before="60" w:after="60" w:line="240" w:lineRule="auto"/>
              <w:ind w:left="684"/>
              <w:rPr>
                <w:sz w:val="22"/>
              </w:rPr>
            </w:pPr>
            <w:r w:rsidRPr="00E52FF7">
              <w:rPr>
                <w:bCs/>
                <w:sz w:val="22"/>
              </w:rPr>
              <w:t>Prerequisites for Global Health – Modify Existing Program</w:t>
            </w:r>
          </w:p>
          <w:p w:rsidR="00D14515" w:rsidRPr="00E52FF7" w:rsidRDefault="00D14515" w:rsidP="00AE2C9C">
            <w:pPr>
              <w:pStyle w:val="ListParagraph"/>
              <w:numPr>
                <w:ilvl w:val="0"/>
                <w:numId w:val="30"/>
              </w:numPr>
              <w:spacing w:before="60" w:after="60" w:line="240" w:lineRule="auto"/>
              <w:ind w:left="684"/>
              <w:rPr>
                <w:sz w:val="22"/>
              </w:rPr>
            </w:pPr>
            <w:r w:rsidRPr="00E52FF7">
              <w:rPr>
                <w:bCs/>
                <w:sz w:val="22"/>
              </w:rPr>
              <w:t>New Course, M.A. in Art Therapy – Modify Existing Program</w:t>
            </w:r>
          </w:p>
          <w:p w:rsidR="00D14515" w:rsidRPr="00E52FF7" w:rsidRDefault="00D14515" w:rsidP="00AE2C9C">
            <w:pPr>
              <w:pStyle w:val="ListParagraph"/>
              <w:numPr>
                <w:ilvl w:val="0"/>
                <w:numId w:val="30"/>
              </w:numPr>
              <w:spacing w:before="60" w:after="60" w:line="240" w:lineRule="auto"/>
              <w:ind w:left="684"/>
              <w:rPr>
                <w:sz w:val="22"/>
              </w:rPr>
            </w:pPr>
            <w:r w:rsidRPr="00E52FF7">
              <w:rPr>
                <w:bCs/>
                <w:sz w:val="22"/>
              </w:rPr>
              <w:t>Master of Music Therapy</w:t>
            </w:r>
            <w:r w:rsidR="00E52FF7" w:rsidRPr="00E52FF7">
              <w:rPr>
                <w:bCs/>
                <w:sz w:val="22"/>
              </w:rPr>
              <w:t xml:space="preserve"> </w:t>
            </w:r>
            <w:r w:rsidRPr="00E52FF7">
              <w:rPr>
                <w:bCs/>
                <w:sz w:val="22"/>
              </w:rPr>
              <w:t>– Modify Existing Program</w:t>
            </w:r>
          </w:p>
          <w:p w:rsidR="00E52FF7" w:rsidRPr="00E52FF7" w:rsidRDefault="00E52FF7" w:rsidP="00AE2C9C">
            <w:pPr>
              <w:pStyle w:val="ListParagraph"/>
              <w:numPr>
                <w:ilvl w:val="0"/>
                <w:numId w:val="30"/>
              </w:numPr>
              <w:spacing w:before="60" w:after="60" w:line="240" w:lineRule="auto"/>
              <w:ind w:left="684"/>
              <w:rPr>
                <w:sz w:val="22"/>
              </w:rPr>
            </w:pPr>
            <w:r w:rsidRPr="00E52FF7">
              <w:rPr>
                <w:bCs/>
                <w:sz w:val="22"/>
              </w:rPr>
              <w:t>New Course KINS 6560 – Modify Existing Program</w:t>
            </w:r>
          </w:p>
          <w:p w:rsidR="00D14515" w:rsidRPr="00E52FF7" w:rsidRDefault="00A46C72" w:rsidP="00D14515">
            <w:pPr>
              <w:pStyle w:val="ListParagraph"/>
              <w:numPr>
                <w:ilvl w:val="0"/>
                <w:numId w:val="30"/>
              </w:numPr>
              <w:spacing w:before="60" w:after="60" w:line="240" w:lineRule="auto"/>
              <w:ind w:left="684"/>
              <w:rPr>
                <w:sz w:val="22"/>
              </w:rPr>
            </w:pPr>
            <w:r>
              <w:rPr>
                <w:sz w:val="22"/>
              </w:rPr>
              <w:t xml:space="preserve">University Senate </w:t>
            </w:r>
            <w:r w:rsidR="00D14515" w:rsidRPr="00E52FF7">
              <w:rPr>
                <w:sz w:val="22"/>
              </w:rPr>
              <w:t>Meeting Agenda</w:t>
            </w:r>
            <w:r w:rsidR="00BF02BF">
              <w:rPr>
                <w:sz w:val="22"/>
              </w:rPr>
              <w:t xml:space="preserve"> (11/18/16)</w:t>
            </w:r>
          </w:p>
          <w:p w:rsidR="00A70263" w:rsidRPr="00E52FF7" w:rsidRDefault="00A46C72" w:rsidP="00DB2548">
            <w:pPr>
              <w:pStyle w:val="ListParagraph"/>
              <w:numPr>
                <w:ilvl w:val="0"/>
                <w:numId w:val="30"/>
              </w:numPr>
              <w:spacing w:before="60" w:after="60" w:line="240" w:lineRule="auto"/>
              <w:ind w:left="684"/>
              <w:rPr>
                <w:sz w:val="22"/>
              </w:rPr>
            </w:pPr>
            <w:r>
              <w:rPr>
                <w:sz w:val="22"/>
              </w:rPr>
              <w:t xml:space="preserve">University Senate </w:t>
            </w:r>
            <w:r w:rsidR="00D14515" w:rsidRPr="00E52FF7">
              <w:rPr>
                <w:sz w:val="22"/>
              </w:rPr>
              <w:t xml:space="preserve">Minutes </w:t>
            </w:r>
            <w:hyperlink r:id="rId8" w:history="1">
              <w:r w:rsidR="00D14515" w:rsidRPr="00657FC8">
                <w:rPr>
                  <w:rStyle w:val="Hyperlink"/>
                  <w:sz w:val="22"/>
                </w:rPr>
                <w:t>(</w:t>
              </w:r>
              <w:r w:rsidR="00921230" w:rsidRPr="00657FC8">
                <w:rPr>
                  <w:rStyle w:val="Hyperlink"/>
                  <w:sz w:val="22"/>
                </w:rPr>
                <w:t>10/</w:t>
              </w:r>
              <w:r w:rsidR="00DB2548" w:rsidRPr="00657FC8">
                <w:rPr>
                  <w:rStyle w:val="Hyperlink"/>
                  <w:sz w:val="22"/>
                </w:rPr>
                <w:t>2</w:t>
              </w:r>
              <w:r w:rsidR="00DB2548" w:rsidRPr="00657FC8">
                <w:rPr>
                  <w:rStyle w:val="Hyperlink"/>
                  <w:sz w:val="22"/>
                </w:rPr>
                <w:t>1</w:t>
              </w:r>
              <w:r w:rsidR="00405866" w:rsidRPr="00657FC8">
                <w:rPr>
                  <w:rStyle w:val="Hyperlink"/>
                  <w:sz w:val="22"/>
                </w:rPr>
                <w:t>/16</w:t>
              </w:r>
            </w:hyperlink>
            <w:r w:rsidR="00D14515" w:rsidRPr="00E52FF7">
              <w:rPr>
                <w:sz w:val="22"/>
              </w:rPr>
              <w:t>)</w:t>
            </w:r>
          </w:p>
        </w:tc>
        <w:tc>
          <w:tcPr>
            <w:tcW w:w="1620" w:type="dxa"/>
            <w:tcBorders>
              <w:top w:val="nil"/>
              <w:left w:val="nil"/>
              <w:bottom w:val="single" w:sz="4" w:space="0" w:color="auto"/>
              <w:right w:val="single" w:sz="4" w:space="0" w:color="auto"/>
            </w:tcBorders>
          </w:tcPr>
          <w:p w:rsidR="00AE0422" w:rsidRPr="00E52FF7" w:rsidRDefault="00AE0422" w:rsidP="00AE0422">
            <w:pPr>
              <w:spacing w:before="60" w:after="60" w:line="240" w:lineRule="auto"/>
              <w:ind w:firstLine="0"/>
              <w:rPr>
                <w:b/>
                <w:sz w:val="22"/>
              </w:rPr>
            </w:pPr>
            <w:r w:rsidRPr="00E52FF7">
              <w:rPr>
                <w:b/>
                <w:sz w:val="22"/>
              </w:rPr>
              <w:t>YES</w:t>
            </w:r>
          </w:p>
          <w:p w:rsidR="007F2C80" w:rsidRPr="00E52FF7" w:rsidRDefault="007F2C80" w:rsidP="005E7A0F">
            <w:pPr>
              <w:spacing w:before="60" w:after="60" w:line="240" w:lineRule="auto"/>
              <w:ind w:firstLine="0"/>
              <w:rPr>
                <w:b/>
                <w:sz w:val="22"/>
              </w:rPr>
            </w:pPr>
          </w:p>
          <w:p w:rsidR="005E3229" w:rsidRPr="00E52FF7" w:rsidRDefault="00A70263" w:rsidP="000D7919">
            <w:pPr>
              <w:spacing w:before="60" w:after="60" w:line="240" w:lineRule="auto"/>
              <w:ind w:firstLine="0"/>
              <w:rPr>
                <w:b/>
                <w:sz w:val="22"/>
              </w:rPr>
            </w:pPr>
            <w:r w:rsidRPr="00E52FF7">
              <w:rPr>
                <w:b/>
                <w:sz w:val="22"/>
              </w:rPr>
              <w:t xml:space="preserve"> </w:t>
            </w:r>
          </w:p>
        </w:tc>
      </w:tr>
      <w:tr w:rsidR="0079393A" w:rsidRPr="00E52FF7" w:rsidTr="002B21CD">
        <w:tc>
          <w:tcPr>
            <w:tcW w:w="738" w:type="dxa"/>
            <w:tcBorders>
              <w:top w:val="nil"/>
              <w:left w:val="single" w:sz="4" w:space="0" w:color="auto"/>
              <w:right w:val="nil"/>
            </w:tcBorders>
          </w:tcPr>
          <w:p w:rsidR="0079393A" w:rsidRPr="00E52FF7" w:rsidRDefault="0079393A" w:rsidP="006242D5">
            <w:pPr>
              <w:spacing w:before="60" w:after="60" w:line="240" w:lineRule="auto"/>
              <w:ind w:firstLine="0"/>
              <w:rPr>
                <w:b/>
                <w:sz w:val="22"/>
              </w:rPr>
            </w:pPr>
          </w:p>
        </w:tc>
        <w:tc>
          <w:tcPr>
            <w:tcW w:w="8442" w:type="dxa"/>
            <w:tcBorders>
              <w:top w:val="nil"/>
              <w:left w:val="nil"/>
              <w:right w:val="nil"/>
            </w:tcBorders>
          </w:tcPr>
          <w:p w:rsidR="00997BB8" w:rsidRPr="00E52FF7" w:rsidRDefault="0079393A" w:rsidP="00997BB8">
            <w:pPr>
              <w:pStyle w:val="Heading1"/>
              <w:numPr>
                <w:ilvl w:val="0"/>
                <w:numId w:val="4"/>
              </w:numPr>
              <w:spacing w:before="60" w:after="60" w:line="240" w:lineRule="auto"/>
              <w:jc w:val="left"/>
              <w:outlineLvl w:val="0"/>
              <w:rPr>
                <w:rFonts w:asciiTheme="minorHAnsi" w:hAnsiTheme="minorHAnsi"/>
                <w:b w:val="0"/>
                <w:sz w:val="22"/>
                <w:szCs w:val="22"/>
              </w:rPr>
            </w:pPr>
            <w:r w:rsidRPr="00E52FF7">
              <w:rPr>
                <w:rFonts w:asciiTheme="minorHAnsi" w:hAnsiTheme="minorHAnsi"/>
                <w:sz w:val="22"/>
                <w:szCs w:val="22"/>
              </w:rPr>
              <w:t xml:space="preserve">President’s Report </w:t>
            </w:r>
            <w:r w:rsidRPr="00E52FF7">
              <w:rPr>
                <w:rFonts w:asciiTheme="minorHAnsi" w:hAnsiTheme="minorHAnsi"/>
                <w:b w:val="0"/>
                <w:sz w:val="22"/>
                <w:szCs w:val="22"/>
              </w:rPr>
              <w:t>– President Dorman</w:t>
            </w:r>
          </w:p>
          <w:p w:rsidR="0079393A" w:rsidRPr="00E52FF7" w:rsidRDefault="0079393A" w:rsidP="00997BB8">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 xml:space="preserve">Provost’s Report </w:t>
            </w:r>
            <w:r w:rsidRPr="00E52FF7">
              <w:rPr>
                <w:rFonts w:asciiTheme="minorHAnsi" w:hAnsiTheme="minorHAnsi"/>
                <w:b w:val="0"/>
                <w:sz w:val="22"/>
                <w:szCs w:val="22"/>
              </w:rPr>
              <w:t>–</w:t>
            </w:r>
            <w:r w:rsidRPr="00E52FF7">
              <w:rPr>
                <w:rFonts w:asciiTheme="minorHAnsi" w:hAnsiTheme="minorHAnsi"/>
                <w:sz w:val="22"/>
                <w:szCs w:val="22"/>
              </w:rPr>
              <w:t xml:space="preserve"> </w:t>
            </w:r>
            <w:r w:rsidR="00D908E1" w:rsidRPr="00E52FF7">
              <w:rPr>
                <w:rFonts w:asciiTheme="minorHAnsi" w:hAnsiTheme="minorHAnsi"/>
                <w:b w:val="0"/>
                <w:sz w:val="22"/>
                <w:szCs w:val="22"/>
              </w:rPr>
              <w:t xml:space="preserve">Interim </w:t>
            </w:r>
            <w:r w:rsidRPr="00E52FF7">
              <w:rPr>
                <w:rFonts w:asciiTheme="minorHAnsi" w:hAnsiTheme="minorHAnsi"/>
                <w:b w:val="0"/>
                <w:sz w:val="22"/>
                <w:szCs w:val="22"/>
              </w:rPr>
              <w:t xml:space="preserve">Provost </w:t>
            </w:r>
            <w:r w:rsidR="00D908E1" w:rsidRPr="00E52FF7">
              <w:rPr>
                <w:rFonts w:asciiTheme="minorHAnsi" w:hAnsiTheme="minorHAnsi"/>
                <w:b w:val="0"/>
                <w:sz w:val="22"/>
                <w:szCs w:val="22"/>
              </w:rPr>
              <w:t>Spirou</w:t>
            </w:r>
          </w:p>
        </w:tc>
        <w:tc>
          <w:tcPr>
            <w:tcW w:w="1620" w:type="dxa"/>
            <w:tcBorders>
              <w:top w:val="nil"/>
              <w:left w:val="nil"/>
              <w:right w:val="single" w:sz="4" w:space="0" w:color="auto"/>
            </w:tcBorders>
          </w:tcPr>
          <w:p w:rsidR="0079393A" w:rsidRPr="00E52FF7" w:rsidRDefault="0079393A" w:rsidP="005E7A0F">
            <w:pPr>
              <w:spacing w:before="60" w:after="60" w:line="240" w:lineRule="auto"/>
              <w:ind w:firstLine="0"/>
              <w:rPr>
                <w:b/>
                <w:sz w:val="22"/>
              </w:rPr>
            </w:pPr>
            <w:r w:rsidRPr="00E52FF7">
              <w:rPr>
                <w:b/>
                <w:sz w:val="22"/>
              </w:rPr>
              <w:t>NO</w:t>
            </w:r>
          </w:p>
          <w:p w:rsidR="0079393A" w:rsidRPr="00E52FF7" w:rsidRDefault="0079393A" w:rsidP="00997BB8">
            <w:pPr>
              <w:spacing w:before="60" w:after="60" w:line="240" w:lineRule="auto"/>
              <w:ind w:firstLine="0"/>
              <w:rPr>
                <w:b/>
                <w:sz w:val="22"/>
              </w:rPr>
            </w:pPr>
            <w:r w:rsidRPr="00E52FF7">
              <w:rPr>
                <w:b/>
                <w:sz w:val="22"/>
              </w:rPr>
              <w:t>NO</w:t>
            </w:r>
          </w:p>
        </w:tc>
      </w:tr>
      <w:tr w:rsidR="002F10F6" w:rsidRPr="00E52FF7" w:rsidTr="002B21CD">
        <w:tc>
          <w:tcPr>
            <w:tcW w:w="738" w:type="dxa"/>
            <w:tcBorders>
              <w:left w:val="single" w:sz="4" w:space="0" w:color="auto"/>
              <w:bottom w:val="single" w:sz="4" w:space="0" w:color="auto"/>
              <w:right w:val="nil"/>
            </w:tcBorders>
          </w:tcPr>
          <w:p w:rsidR="002F10F6" w:rsidRPr="00E52FF7" w:rsidRDefault="002F10F6" w:rsidP="00884489">
            <w:pPr>
              <w:spacing w:before="60" w:after="60" w:line="240" w:lineRule="auto"/>
              <w:ind w:firstLine="0"/>
              <w:rPr>
                <w:b/>
                <w:sz w:val="22"/>
              </w:rPr>
            </w:pPr>
          </w:p>
        </w:tc>
        <w:tc>
          <w:tcPr>
            <w:tcW w:w="8442" w:type="dxa"/>
            <w:tcBorders>
              <w:left w:val="nil"/>
              <w:bottom w:val="single" w:sz="4" w:space="0" w:color="auto"/>
              <w:right w:val="nil"/>
            </w:tcBorders>
          </w:tcPr>
          <w:p w:rsidR="00904123" w:rsidRPr="00E52FF7" w:rsidRDefault="002F10F6" w:rsidP="00AE0422">
            <w:pPr>
              <w:pStyle w:val="Heading1"/>
              <w:numPr>
                <w:ilvl w:val="0"/>
                <w:numId w:val="0"/>
              </w:numPr>
              <w:spacing w:before="60" w:after="60" w:line="240" w:lineRule="auto"/>
              <w:ind w:left="432" w:hanging="432"/>
              <w:jc w:val="left"/>
              <w:outlineLvl w:val="0"/>
              <w:rPr>
                <w:b w:val="0"/>
                <w:sz w:val="22"/>
                <w:szCs w:val="22"/>
              </w:rPr>
            </w:pPr>
            <w:r w:rsidRPr="00E52FF7">
              <w:rPr>
                <w:rFonts w:asciiTheme="minorHAnsi" w:hAnsiTheme="minorHAnsi"/>
                <w:sz w:val="22"/>
                <w:szCs w:val="22"/>
              </w:rPr>
              <w:t>Unfinished Business</w:t>
            </w:r>
          </w:p>
        </w:tc>
        <w:tc>
          <w:tcPr>
            <w:tcW w:w="1620" w:type="dxa"/>
            <w:tcBorders>
              <w:left w:val="nil"/>
              <w:bottom w:val="single" w:sz="4" w:space="0" w:color="auto"/>
              <w:right w:val="single" w:sz="4" w:space="0" w:color="auto"/>
            </w:tcBorders>
          </w:tcPr>
          <w:p w:rsidR="002F10F6" w:rsidRPr="00E52FF7" w:rsidRDefault="002F10F6" w:rsidP="000E3F89">
            <w:pPr>
              <w:spacing w:before="60" w:after="60" w:line="240" w:lineRule="auto"/>
              <w:ind w:firstLine="0"/>
              <w:rPr>
                <w:b/>
                <w:sz w:val="22"/>
              </w:rPr>
            </w:pPr>
          </w:p>
        </w:tc>
      </w:tr>
      <w:tr w:rsidR="0079393A" w:rsidRPr="00E52FF7" w:rsidTr="002B21CD">
        <w:tc>
          <w:tcPr>
            <w:tcW w:w="738" w:type="dxa"/>
            <w:tcBorders>
              <w:left w:val="single" w:sz="4" w:space="0" w:color="auto"/>
              <w:bottom w:val="single" w:sz="4" w:space="0" w:color="auto"/>
              <w:right w:val="nil"/>
            </w:tcBorders>
          </w:tcPr>
          <w:p w:rsidR="0079393A" w:rsidRPr="00E52FF7" w:rsidRDefault="0079393A" w:rsidP="00884489">
            <w:pPr>
              <w:spacing w:before="60" w:after="60" w:line="240" w:lineRule="auto"/>
              <w:ind w:firstLine="0"/>
              <w:rPr>
                <w:b/>
                <w:sz w:val="22"/>
              </w:rPr>
            </w:pPr>
          </w:p>
        </w:tc>
        <w:tc>
          <w:tcPr>
            <w:tcW w:w="8442" w:type="dxa"/>
            <w:tcBorders>
              <w:left w:val="nil"/>
              <w:bottom w:val="single" w:sz="4" w:space="0" w:color="auto"/>
              <w:right w:val="nil"/>
            </w:tcBorders>
          </w:tcPr>
          <w:p w:rsidR="0079393A" w:rsidRPr="00E52FF7" w:rsidRDefault="0079393A" w:rsidP="002E4134">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 xml:space="preserve">New Business </w:t>
            </w:r>
          </w:p>
          <w:p w:rsidR="002E4134" w:rsidRPr="00E52FF7" w:rsidRDefault="007442F3" w:rsidP="007442F3">
            <w:pPr>
              <w:pStyle w:val="ListParagraph"/>
              <w:numPr>
                <w:ilvl w:val="0"/>
                <w:numId w:val="25"/>
              </w:numPr>
              <w:spacing w:line="240" w:lineRule="auto"/>
              <w:rPr>
                <w:rStyle w:val="Hyperlink"/>
                <w:color w:val="auto"/>
                <w:sz w:val="22"/>
                <w:u w:val="none"/>
              </w:rPr>
            </w:pPr>
            <w:r w:rsidRPr="00E52FF7">
              <w:rPr>
                <w:sz w:val="22"/>
              </w:rPr>
              <w:t xml:space="preserve">Additions of CSCI 1301 and CSCI 1302 to Area D for Science and Math Majors </w:t>
            </w:r>
            <w:r w:rsidR="002E4134" w:rsidRPr="00E52FF7">
              <w:rPr>
                <w:sz w:val="22"/>
              </w:rPr>
              <w:t xml:space="preserve">– Lyndall Muschell, CAPC Chair, Motion </w:t>
            </w:r>
            <w:hyperlink r:id="rId9" w:history="1">
              <w:r w:rsidRPr="00E52FF7">
                <w:rPr>
                  <w:rStyle w:val="Hyperlink"/>
                  <w:sz w:val="22"/>
                </w:rPr>
                <w:t>1617.CAPC.009.C</w:t>
              </w:r>
            </w:hyperlink>
          </w:p>
          <w:p w:rsidR="007442F3" w:rsidRPr="00E52FF7" w:rsidRDefault="007442F3" w:rsidP="007442F3">
            <w:pPr>
              <w:pStyle w:val="ListParagraph"/>
              <w:numPr>
                <w:ilvl w:val="0"/>
                <w:numId w:val="25"/>
              </w:numPr>
              <w:spacing w:line="240" w:lineRule="auto"/>
              <w:rPr>
                <w:rStyle w:val="Hyperlink"/>
                <w:color w:val="auto"/>
                <w:sz w:val="22"/>
                <w:u w:val="none"/>
              </w:rPr>
            </w:pPr>
            <w:r w:rsidRPr="00E52FF7">
              <w:rPr>
                <w:sz w:val="22"/>
              </w:rPr>
              <w:t xml:space="preserve">Deactivation of the M.Ed. Reading, Language, and Literacy – Lyndall Muschell, CAPC Chair, Motion </w:t>
            </w:r>
            <w:hyperlink r:id="rId10" w:history="1">
              <w:r w:rsidRPr="00E52FF7">
                <w:rPr>
                  <w:rStyle w:val="Hyperlink"/>
                  <w:sz w:val="22"/>
                </w:rPr>
                <w:t>1617.CAPC.010.C</w:t>
              </w:r>
            </w:hyperlink>
          </w:p>
          <w:p w:rsidR="007442F3" w:rsidRPr="00E52FF7" w:rsidRDefault="007442F3" w:rsidP="007442F3">
            <w:pPr>
              <w:pStyle w:val="ListParagraph"/>
              <w:numPr>
                <w:ilvl w:val="0"/>
                <w:numId w:val="25"/>
              </w:numPr>
              <w:spacing w:line="240" w:lineRule="auto"/>
              <w:rPr>
                <w:rStyle w:val="Hyperlink"/>
                <w:color w:val="auto"/>
                <w:sz w:val="22"/>
                <w:u w:val="none"/>
              </w:rPr>
            </w:pPr>
            <w:r w:rsidRPr="00E52FF7">
              <w:rPr>
                <w:sz w:val="22"/>
              </w:rPr>
              <w:t xml:space="preserve">Deactivation of the M.Ed. in Education with a Concentration in Secondary Education – Lyndall Muschell, CAPC Chair, Motion </w:t>
            </w:r>
            <w:hyperlink r:id="rId11" w:history="1">
              <w:r w:rsidRPr="00E52FF7">
                <w:rPr>
                  <w:rStyle w:val="Hyperlink"/>
                  <w:sz w:val="22"/>
                </w:rPr>
                <w:t>1617.CAPC.011.C</w:t>
              </w:r>
            </w:hyperlink>
          </w:p>
          <w:p w:rsidR="002E4134" w:rsidRPr="00E52FF7" w:rsidRDefault="007442F3" w:rsidP="007442F3">
            <w:pPr>
              <w:pStyle w:val="ListParagraph"/>
              <w:numPr>
                <w:ilvl w:val="0"/>
                <w:numId w:val="25"/>
              </w:numPr>
              <w:spacing w:line="240" w:lineRule="auto"/>
              <w:rPr>
                <w:sz w:val="22"/>
              </w:rPr>
            </w:pPr>
            <w:r w:rsidRPr="00E52FF7">
              <w:rPr>
                <w:sz w:val="22"/>
              </w:rPr>
              <w:t xml:space="preserve">Georgia College Family Medical Leave Act Policy – Jan Clark, RPIPC Chair, Motion </w:t>
            </w:r>
            <w:hyperlink r:id="rId12" w:history="1">
              <w:r w:rsidRPr="00E52FF7">
                <w:rPr>
                  <w:rStyle w:val="Hyperlink"/>
                  <w:sz w:val="22"/>
                </w:rPr>
                <w:t>1617.RPIPC.002.P</w:t>
              </w:r>
            </w:hyperlink>
          </w:p>
        </w:tc>
        <w:tc>
          <w:tcPr>
            <w:tcW w:w="1620" w:type="dxa"/>
            <w:tcBorders>
              <w:left w:val="nil"/>
              <w:bottom w:val="single" w:sz="4" w:space="0" w:color="auto"/>
              <w:right w:val="single" w:sz="4" w:space="0" w:color="auto"/>
            </w:tcBorders>
          </w:tcPr>
          <w:p w:rsidR="0079393A" w:rsidRPr="00E52FF7" w:rsidRDefault="0079393A" w:rsidP="0079393A">
            <w:pPr>
              <w:spacing w:before="60" w:after="60" w:line="240" w:lineRule="auto"/>
              <w:ind w:firstLine="0"/>
              <w:rPr>
                <w:b/>
                <w:sz w:val="22"/>
              </w:rPr>
            </w:pPr>
            <w:r w:rsidRPr="00E52FF7">
              <w:rPr>
                <w:b/>
                <w:sz w:val="22"/>
              </w:rPr>
              <w:t xml:space="preserve">YES </w:t>
            </w:r>
          </w:p>
          <w:p w:rsidR="0079393A" w:rsidRPr="00E52FF7" w:rsidRDefault="0079393A" w:rsidP="0079393A">
            <w:pPr>
              <w:spacing w:before="60" w:after="60" w:line="240" w:lineRule="auto"/>
              <w:ind w:firstLine="0"/>
              <w:rPr>
                <w:b/>
                <w:sz w:val="22"/>
              </w:rPr>
            </w:pPr>
          </w:p>
        </w:tc>
        <w:bookmarkStart w:id="0" w:name="_GoBack"/>
        <w:bookmarkEnd w:id="0"/>
      </w:tr>
      <w:tr w:rsidR="00A70263" w:rsidRPr="00E52FF7" w:rsidTr="002B21CD">
        <w:tc>
          <w:tcPr>
            <w:tcW w:w="738" w:type="dxa"/>
            <w:tcBorders>
              <w:top w:val="single" w:sz="4" w:space="0" w:color="auto"/>
              <w:left w:val="single" w:sz="4" w:space="0" w:color="auto"/>
              <w:bottom w:val="nil"/>
              <w:right w:val="nil"/>
            </w:tcBorders>
          </w:tcPr>
          <w:p w:rsidR="00A70263" w:rsidRPr="00E52FF7" w:rsidRDefault="00A70263" w:rsidP="00EF06E0">
            <w:pPr>
              <w:spacing w:before="60" w:after="60" w:line="240" w:lineRule="auto"/>
              <w:ind w:firstLine="0"/>
              <w:rPr>
                <w:sz w:val="22"/>
              </w:rPr>
            </w:pPr>
          </w:p>
        </w:tc>
        <w:tc>
          <w:tcPr>
            <w:tcW w:w="8442" w:type="dxa"/>
            <w:tcBorders>
              <w:top w:val="single" w:sz="4" w:space="0" w:color="auto"/>
              <w:left w:val="nil"/>
              <w:bottom w:val="nil"/>
              <w:right w:val="nil"/>
            </w:tcBorders>
          </w:tcPr>
          <w:p w:rsidR="00A70263" w:rsidRPr="00E52FF7" w:rsidRDefault="00A70263" w:rsidP="00A70263">
            <w:pPr>
              <w:pStyle w:val="ListParagraph"/>
              <w:numPr>
                <w:ilvl w:val="0"/>
                <w:numId w:val="4"/>
              </w:numPr>
              <w:spacing w:line="240" w:lineRule="auto"/>
              <w:rPr>
                <w:b/>
                <w:sz w:val="22"/>
              </w:rPr>
            </w:pPr>
            <w:r w:rsidRPr="00E52FF7">
              <w:rPr>
                <w:b/>
                <w:sz w:val="22"/>
              </w:rPr>
              <w:t>Standing Committee Reports</w:t>
            </w:r>
          </w:p>
        </w:tc>
        <w:tc>
          <w:tcPr>
            <w:tcW w:w="1620" w:type="dxa"/>
            <w:tcBorders>
              <w:top w:val="single" w:sz="4" w:space="0" w:color="auto"/>
              <w:left w:val="nil"/>
              <w:bottom w:val="nil"/>
              <w:right w:val="single" w:sz="4" w:space="0" w:color="auto"/>
            </w:tcBorders>
          </w:tcPr>
          <w:p w:rsidR="00A70263" w:rsidRPr="00E52FF7" w:rsidRDefault="00A70263" w:rsidP="00EF06E0">
            <w:pPr>
              <w:spacing w:before="60" w:after="60" w:line="240" w:lineRule="auto"/>
              <w:ind w:firstLine="0"/>
              <w:rPr>
                <w:b/>
                <w:sz w:val="22"/>
              </w:rPr>
            </w:pPr>
            <w:r w:rsidRPr="00E52FF7">
              <w:rPr>
                <w:b/>
                <w:sz w:val="22"/>
              </w:rPr>
              <w:t>NO</w:t>
            </w:r>
          </w:p>
        </w:tc>
      </w:tr>
      <w:tr w:rsidR="00A70263" w:rsidRPr="00E52FF7" w:rsidTr="002B21CD">
        <w:tc>
          <w:tcPr>
            <w:tcW w:w="738" w:type="dxa"/>
            <w:tcBorders>
              <w:top w:val="nil"/>
              <w:left w:val="single" w:sz="4" w:space="0" w:color="auto"/>
              <w:bottom w:val="single" w:sz="4" w:space="0" w:color="auto"/>
              <w:right w:val="nil"/>
            </w:tcBorders>
          </w:tcPr>
          <w:p w:rsidR="00A70263" w:rsidRPr="00E52FF7" w:rsidRDefault="00A70263" w:rsidP="00884489">
            <w:pPr>
              <w:spacing w:before="60" w:after="60" w:line="240" w:lineRule="auto"/>
              <w:ind w:firstLine="0"/>
              <w:rPr>
                <w:b/>
                <w:sz w:val="22"/>
              </w:rPr>
            </w:pPr>
          </w:p>
        </w:tc>
        <w:tc>
          <w:tcPr>
            <w:tcW w:w="8442" w:type="dxa"/>
            <w:tcBorders>
              <w:top w:val="nil"/>
              <w:left w:val="nil"/>
              <w:bottom w:val="single" w:sz="4" w:space="0" w:color="auto"/>
              <w:right w:val="nil"/>
            </w:tcBorders>
          </w:tcPr>
          <w:p w:rsidR="00A70263" w:rsidRPr="00E52FF7" w:rsidRDefault="00A70263" w:rsidP="00692C35">
            <w:pPr>
              <w:pStyle w:val="Heading1"/>
              <w:numPr>
                <w:ilvl w:val="0"/>
                <w:numId w:val="8"/>
              </w:numPr>
              <w:tabs>
                <w:tab w:val="left" w:pos="234"/>
              </w:tabs>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APC – </w:t>
            </w:r>
            <w:r w:rsidR="00D908E1" w:rsidRPr="00E52FF7">
              <w:rPr>
                <w:rFonts w:asciiTheme="minorHAnsi" w:hAnsiTheme="minorHAnsi"/>
                <w:b w:val="0"/>
                <w:sz w:val="22"/>
                <w:szCs w:val="22"/>
              </w:rPr>
              <w:t>Carol Sapp</w:t>
            </w:r>
          </w:p>
          <w:p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CAPC </w:t>
            </w:r>
            <w:r w:rsidR="00D908E1" w:rsidRPr="00E52FF7">
              <w:rPr>
                <w:rFonts w:asciiTheme="minorHAnsi" w:hAnsiTheme="minorHAnsi"/>
                <w:b w:val="0"/>
                <w:sz w:val="22"/>
                <w:szCs w:val="22"/>
              </w:rPr>
              <w:t>–</w:t>
            </w:r>
            <w:r w:rsidRPr="00E52FF7">
              <w:rPr>
                <w:rFonts w:asciiTheme="minorHAnsi" w:hAnsiTheme="minorHAnsi"/>
                <w:b w:val="0"/>
                <w:sz w:val="22"/>
                <w:szCs w:val="22"/>
              </w:rPr>
              <w:t xml:space="preserve"> </w:t>
            </w:r>
            <w:r w:rsidR="00D908E1" w:rsidRPr="00E52FF7">
              <w:rPr>
                <w:rFonts w:asciiTheme="minorHAnsi" w:hAnsiTheme="minorHAnsi"/>
                <w:b w:val="0"/>
                <w:sz w:val="22"/>
                <w:szCs w:val="22"/>
              </w:rPr>
              <w:t>Lyndall Muschell</w:t>
            </w:r>
          </w:p>
          <w:p w:rsidR="00A70263" w:rsidRPr="00E52FF7" w:rsidRDefault="00A70263" w:rsidP="00692C35">
            <w:pPr>
              <w:pStyle w:val="Heading1"/>
              <w:numPr>
                <w:ilvl w:val="0"/>
                <w:numId w:val="1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SoCC – Mary Magoulic</w:t>
            </w:r>
            <w:r w:rsidR="0079393A" w:rsidRPr="00E52FF7">
              <w:rPr>
                <w:rFonts w:asciiTheme="minorHAnsi" w:hAnsiTheme="minorHAnsi"/>
                <w:b w:val="0"/>
                <w:sz w:val="22"/>
                <w:szCs w:val="22"/>
              </w:rPr>
              <w:t>k</w:t>
            </w:r>
            <w:r w:rsidRPr="00E52FF7">
              <w:rPr>
                <w:rFonts w:asciiTheme="minorHAnsi" w:hAnsiTheme="minorHAnsi"/>
                <w:b w:val="0"/>
                <w:sz w:val="22"/>
                <w:szCs w:val="22"/>
              </w:rPr>
              <w:t xml:space="preserve"> </w:t>
            </w:r>
          </w:p>
          <w:p w:rsidR="00A70263" w:rsidRPr="00E52FF7" w:rsidRDefault="0079393A"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ECUS </w:t>
            </w:r>
            <w:r w:rsidR="00D908E1" w:rsidRPr="00E52FF7">
              <w:rPr>
                <w:rFonts w:asciiTheme="minorHAnsi" w:hAnsiTheme="minorHAnsi"/>
                <w:b w:val="0"/>
                <w:sz w:val="22"/>
                <w:szCs w:val="22"/>
              </w:rPr>
              <w:t>–</w:t>
            </w:r>
            <w:r w:rsidR="00A70263" w:rsidRPr="00E52FF7">
              <w:rPr>
                <w:rFonts w:asciiTheme="minorHAnsi" w:hAnsiTheme="minorHAnsi"/>
                <w:b w:val="0"/>
                <w:sz w:val="22"/>
                <w:szCs w:val="22"/>
              </w:rPr>
              <w:t xml:space="preserve"> </w:t>
            </w:r>
            <w:r w:rsidR="00D908E1" w:rsidRPr="00E52FF7">
              <w:rPr>
                <w:rFonts w:asciiTheme="minorHAnsi" w:hAnsiTheme="minorHAnsi"/>
                <w:b w:val="0"/>
                <w:sz w:val="22"/>
                <w:szCs w:val="22"/>
              </w:rPr>
              <w:t>Chavonda Mills</w:t>
            </w:r>
          </w:p>
          <w:p w:rsidR="00A70263" w:rsidRPr="00E52FF7" w:rsidRDefault="00A70263" w:rsidP="00692C35">
            <w:pPr>
              <w:pStyle w:val="Heading1"/>
              <w:numPr>
                <w:ilvl w:val="0"/>
                <w:numId w:val="19"/>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S</w:t>
            </w:r>
            <w:r w:rsidR="000A4831" w:rsidRPr="00E52FF7">
              <w:rPr>
                <w:rFonts w:asciiTheme="minorHAnsi" w:hAnsiTheme="minorHAnsi"/>
                <w:b w:val="0"/>
                <w:sz w:val="22"/>
                <w:szCs w:val="22"/>
              </w:rPr>
              <w:t>C</w:t>
            </w:r>
            <w:r w:rsidRPr="00E52FF7">
              <w:rPr>
                <w:rFonts w:asciiTheme="minorHAnsi" w:hAnsiTheme="minorHAnsi"/>
                <w:b w:val="0"/>
                <w:sz w:val="22"/>
                <w:szCs w:val="22"/>
              </w:rPr>
              <w:t xml:space="preserve">oN – </w:t>
            </w:r>
            <w:r w:rsidR="00D908E1" w:rsidRPr="00E52FF7">
              <w:rPr>
                <w:rFonts w:asciiTheme="minorHAnsi" w:hAnsiTheme="minorHAnsi"/>
                <w:b w:val="0"/>
                <w:sz w:val="22"/>
                <w:szCs w:val="22"/>
              </w:rPr>
              <w:t>Nicole DeClouette</w:t>
            </w:r>
          </w:p>
          <w:p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FAPC – </w:t>
            </w:r>
            <w:r w:rsidR="00D908E1" w:rsidRPr="00E52FF7">
              <w:rPr>
                <w:rFonts w:asciiTheme="minorHAnsi" w:hAnsiTheme="minorHAnsi"/>
                <w:b w:val="0"/>
                <w:sz w:val="22"/>
                <w:szCs w:val="22"/>
              </w:rPr>
              <w:t>Alex Blazer</w:t>
            </w:r>
          </w:p>
          <w:p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RPIPC – Jan Clark</w:t>
            </w:r>
          </w:p>
          <w:p w:rsidR="00A70263" w:rsidRPr="00E52FF7" w:rsidRDefault="00A70263" w:rsidP="00692C35">
            <w:pPr>
              <w:pStyle w:val="ListParagraph"/>
              <w:numPr>
                <w:ilvl w:val="0"/>
                <w:numId w:val="8"/>
              </w:numPr>
              <w:spacing w:line="240" w:lineRule="auto"/>
              <w:ind w:left="706" w:hanging="468"/>
              <w:rPr>
                <w:sz w:val="22"/>
              </w:rPr>
            </w:pPr>
            <w:r w:rsidRPr="00E52FF7">
              <w:rPr>
                <w:sz w:val="22"/>
              </w:rPr>
              <w:t xml:space="preserve">SAPC </w:t>
            </w:r>
            <w:r w:rsidR="00090617" w:rsidRPr="00E52FF7">
              <w:rPr>
                <w:sz w:val="22"/>
              </w:rPr>
              <w:t>–</w:t>
            </w:r>
            <w:r w:rsidRPr="00E52FF7">
              <w:rPr>
                <w:sz w:val="22"/>
              </w:rPr>
              <w:t xml:space="preserve"> </w:t>
            </w:r>
            <w:r w:rsidR="00D908E1" w:rsidRPr="00E52FF7">
              <w:rPr>
                <w:sz w:val="22"/>
              </w:rPr>
              <w:t>Heidi Fowler</w:t>
            </w:r>
          </w:p>
          <w:p w:rsidR="00A70263" w:rsidRPr="00E52FF7" w:rsidRDefault="00A70263" w:rsidP="00692C35">
            <w:pPr>
              <w:pStyle w:val="ListParagraph"/>
              <w:numPr>
                <w:ilvl w:val="0"/>
                <w:numId w:val="20"/>
              </w:numPr>
              <w:spacing w:line="240" w:lineRule="auto"/>
              <w:ind w:hanging="468"/>
              <w:rPr>
                <w:sz w:val="22"/>
              </w:rPr>
            </w:pPr>
            <w:r w:rsidRPr="00E52FF7">
              <w:rPr>
                <w:sz w:val="22"/>
              </w:rPr>
              <w:t xml:space="preserve">SGA – </w:t>
            </w:r>
            <w:r w:rsidR="00D908E1" w:rsidRPr="00E52FF7">
              <w:rPr>
                <w:sz w:val="22"/>
              </w:rPr>
              <w:t>Laura Ahrens</w:t>
            </w:r>
            <w:r w:rsidRPr="00E52FF7">
              <w:rPr>
                <w:sz w:val="22"/>
              </w:rPr>
              <w:t xml:space="preserve"> </w:t>
            </w:r>
          </w:p>
        </w:tc>
        <w:tc>
          <w:tcPr>
            <w:tcW w:w="1620" w:type="dxa"/>
            <w:tcBorders>
              <w:top w:val="nil"/>
              <w:left w:val="nil"/>
              <w:bottom w:val="single" w:sz="4" w:space="0" w:color="auto"/>
              <w:right w:val="single" w:sz="4" w:space="0" w:color="auto"/>
            </w:tcBorders>
          </w:tcPr>
          <w:p w:rsidR="00A70263" w:rsidRPr="00E52FF7" w:rsidRDefault="00A70263" w:rsidP="006A4F35">
            <w:pPr>
              <w:spacing w:before="60" w:after="60" w:line="240" w:lineRule="auto"/>
              <w:ind w:firstLine="0"/>
              <w:rPr>
                <w:b/>
                <w:sz w:val="22"/>
              </w:rPr>
            </w:pPr>
          </w:p>
        </w:tc>
      </w:tr>
      <w:tr w:rsidR="00A70263" w:rsidRPr="00E52FF7" w:rsidTr="002B21CD">
        <w:tc>
          <w:tcPr>
            <w:tcW w:w="738" w:type="dxa"/>
            <w:tcBorders>
              <w:top w:val="single" w:sz="4" w:space="0" w:color="auto"/>
              <w:left w:val="single" w:sz="4" w:space="0" w:color="auto"/>
              <w:bottom w:val="nil"/>
              <w:right w:val="nil"/>
            </w:tcBorders>
          </w:tcPr>
          <w:p w:rsidR="00A70263" w:rsidRPr="00E52FF7" w:rsidRDefault="00A70263" w:rsidP="00EF06E0">
            <w:pPr>
              <w:spacing w:before="60" w:after="60" w:line="240" w:lineRule="auto"/>
              <w:ind w:firstLine="0"/>
              <w:rPr>
                <w:sz w:val="22"/>
              </w:rPr>
            </w:pPr>
          </w:p>
        </w:tc>
        <w:tc>
          <w:tcPr>
            <w:tcW w:w="8442" w:type="dxa"/>
            <w:tcBorders>
              <w:top w:val="single" w:sz="4" w:space="0" w:color="auto"/>
              <w:left w:val="nil"/>
              <w:bottom w:val="nil"/>
              <w:right w:val="nil"/>
            </w:tcBorders>
          </w:tcPr>
          <w:p w:rsidR="00A70263" w:rsidRPr="00E52FF7" w:rsidRDefault="00A70263" w:rsidP="00374CD6">
            <w:pPr>
              <w:pStyle w:val="Heading1"/>
              <w:numPr>
                <w:ilvl w:val="0"/>
                <w:numId w:val="4"/>
              </w:numPr>
              <w:spacing w:before="60" w:after="60" w:line="240" w:lineRule="auto"/>
              <w:jc w:val="left"/>
              <w:outlineLvl w:val="0"/>
              <w:rPr>
                <w:rFonts w:asciiTheme="minorHAnsi" w:hAnsiTheme="minorHAnsi"/>
                <w:b w:val="0"/>
                <w:sz w:val="22"/>
                <w:szCs w:val="22"/>
              </w:rPr>
            </w:pPr>
            <w:r w:rsidRPr="00E52FF7">
              <w:rPr>
                <w:rFonts w:asciiTheme="minorHAnsi" w:hAnsiTheme="minorHAnsi"/>
                <w:sz w:val="22"/>
                <w:szCs w:val="22"/>
              </w:rPr>
              <w:t>Announcements</w:t>
            </w:r>
            <w:r w:rsidR="00184422" w:rsidRPr="00E52FF7">
              <w:rPr>
                <w:rFonts w:asciiTheme="minorHAnsi" w:hAnsiTheme="minorHAnsi"/>
                <w:sz w:val="22"/>
                <w:szCs w:val="22"/>
              </w:rPr>
              <w:t>/Information Items</w:t>
            </w:r>
          </w:p>
          <w:p w:rsidR="00374CD6" w:rsidRPr="00E52FF7" w:rsidRDefault="00AE0422" w:rsidP="00692C35">
            <w:pPr>
              <w:pStyle w:val="ListParagraph"/>
              <w:numPr>
                <w:ilvl w:val="0"/>
                <w:numId w:val="28"/>
              </w:numPr>
              <w:spacing w:line="240" w:lineRule="auto"/>
              <w:ind w:left="684"/>
              <w:rPr>
                <w:sz w:val="22"/>
              </w:rPr>
            </w:pPr>
            <w:r w:rsidRPr="00E52FF7">
              <w:rPr>
                <w:rFonts w:eastAsiaTheme="majorEastAsia" w:cstheme="majorBidi"/>
                <w:bCs/>
                <w:sz w:val="22"/>
              </w:rPr>
              <w:t xml:space="preserve">Georgia </w:t>
            </w:r>
            <w:r w:rsidR="00777D0E" w:rsidRPr="00E52FF7">
              <w:rPr>
                <w:rFonts w:eastAsiaTheme="majorEastAsia" w:cstheme="majorBidi"/>
                <w:bCs/>
                <w:sz w:val="22"/>
              </w:rPr>
              <w:t xml:space="preserve">College Procedures </w:t>
            </w:r>
            <w:r w:rsidR="006C11A9">
              <w:rPr>
                <w:rFonts w:eastAsiaTheme="majorEastAsia" w:cstheme="majorBidi"/>
                <w:bCs/>
                <w:sz w:val="22"/>
              </w:rPr>
              <w:t xml:space="preserve">– Protection of Non-Student </w:t>
            </w:r>
            <w:r w:rsidR="00777D0E" w:rsidRPr="00E52FF7">
              <w:rPr>
                <w:rFonts w:eastAsiaTheme="majorEastAsia" w:cstheme="majorBidi"/>
                <w:bCs/>
                <w:sz w:val="22"/>
              </w:rPr>
              <w:t xml:space="preserve">Minors </w:t>
            </w:r>
            <w:r w:rsidRPr="00E52FF7">
              <w:rPr>
                <w:rFonts w:eastAsiaTheme="majorEastAsia" w:cstheme="majorBidi"/>
                <w:bCs/>
                <w:sz w:val="22"/>
              </w:rPr>
              <w:t xml:space="preserve">– </w:t>
            </w:r>
            <w:r w:rsidR="00777D0E" w:rsidRPr="00E52FF7">
              <w:rPr>
                <w:rFonts w:eastAsiaTheme="majorEastAsia" w:cstheme="majorBidi"/>
                <w:bCs/>
                <w:sz w:val="22"/>
              </w:rPr>
              <w:t>Artis Williamson</w:t>
            </w:r>
            <w:r w:rsidR="00F856AE">
              <w:rPr>
                <w:rFonts w:eastAsiaTheme="majorEastAsia" w:cstheme="majorBidi"/>
                <w:bCs/>
                <w:sz w:val="22"/>
              </w:rPr>
              <w:t xml:space="preserve"> (see attached</w:t>
            </w:r>
            <w:r w:rsidR="00257EB9">
              <w:rPr>
                <w:rFonts w:eastAsiaTheme="majorEastAsia" w:cstheme="majorBidi"/>
                <w:bCs/>
                <w:sz w:val="22"/>
              </w:rPr>
              <w:t xml:space="preserve"> supporting document</w:t>
            </w:r>
            <w:r w:rsidR="00F856AE">
              <w:rPr>
                <w:rFonts w:eastAsiaTheme="majorEastAsia" w:cstheme="majorBidi"/>
                <w:bCs/>
                <w:sz w:val="22"/>
              </w:rPr>
              <w:t>)</w:t>
            </w:r>
          </w:p>
        </w:tc>
        <w:tc>
          <w:tcPr>
            <w:tcW w:w="1620" w:type="dxa"/>
            <w:tcBorders>
              <w:top w:val="single" w:sz="4" w:space="0" w:color="auto"/>
              <w:left w:val="nil"/>
              <w:bottom w:val="nil"/>
              <w:right w:val="single" w:sz="4" w:space="0" w:color="auto"/>
            </w:tcBorders>
          </w:tcPr>
          <w:p w:rsidR="00A70263" w:rsidRPr="00E52FF7" w:rsidRDefault="00DD5643" w:rsidP="00EF06E0">
            <w:pPr>
              <w:spacing w:before="60" w:after="60" w:line="240" w:lineRule="auto"/>
              <w:ind w:firstLine="0"/>
              <w:rPr>
                <w:b/>
                <w:sz w:val="22"/>
              </w:rPr>
            </w:pPr>
            <w:r w:rsidRPr="00E52FF7">
              <w:rPr>
                <w:b/>
                <w:sz w:val="22"/>
              </w:rPr>
              <w:t>NO</w:t>
            </w:r>
          </w:p>
        </w:tc>
      </w:tr>
      <w:tr w:rsidR="00A70263" w:rsidRPr="00E52FF7" w:rsidTr="002B21CD">
        <w:tc>
          <w:tcPr>
            <w:tcW w:w="738" w:type="dxa"/>
            <w:tcBorders>
              <w:top w:val="single" w:sz="4" w:space="0" w:color="auto"/>
              <w:left w:val="single" w:sz="4" w:space="0" w:color="auto"/>
              <w:bottom w:val="single" w:sz="4" w:space="0" w:color="auto"/>
              <w:right w:val="nil"/>
            </w:tcBorders>
          </w:tcPr>
          <w:p w:rsidR="00A70263" w:rsidRPr="00E52FF7" w:rsidRDefault="00A70263" w:rsidP="00884489">
            <w:pPr>
              <w:spacing w:before="60" w:after="60" w:line="240" w:lineRule="auto"/>
              <w:ind w:firstLine="0"/>
              <w:rPr>
                <w:b/>
                <w:sz w:val="22"/>
              </w:rPr>
            </w:pPr>
          </w:p>
        </w:tc>
        <w:tc>
          <w:tcPr>
            <w:tcW w:w="8442" w:type="dxa"/>
            <w:tcBorders>
              <w:top w:val="single" w:sz="4" w:space="0" w:color="auto"/>
              <w:left w:val="nil"/>
              <w:bottom w:val="single" w:sz="4" w:space="0" w:color="auto"/>
              <w:right w:val="nil"/>
            </w:tcBorders>
          </w:tcPr>
          <w:p w:rsidR="00A70263" w:rsidRPr="00E52FF7" w:rsidRDefault="00A70263" w:rsidP="00723B46">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Open Discussion</w:t>
            </w:r>
            <w:r w:rsidR="00BE00F8" w:rsidRPr="00E52FF7">
              <w:rPr>
                <w:rFonts w:asciiTheme="minorHAnsi" w:hAnsiTheme="minorHAnsi"/>
                <w:sz w:val="22"/>
                <w:szCs w:val="22"/>
              </w:rPr>
              <w:t xml:space="preserve"> </w:t>
            </w:r>
          </w:p>
        </w:tc>
        <w:tc>
          <w:tcPr>
            <w:tcW w:w="1620" w:type="dxa"/>
            <w:tcBorders>
              <w:top w:val="single" w:sz="4" w:space="0" w:color="auto"/>
              <w:left w:val="nil"/>
              <w:bottom w:val="single" w:sz="4" w:space="0" w:color="auto"/>
              <w:right w:val="single" w:sz="4" w:space="0" w:color="auto"/>
            </w:tcBorders>
          </w:tcPr>
          <w:p w:rsidR="00A70263" w:rsidRPr="00E52FF7" w:rsidRDefault="00A70263" w:rsidP="00BE00F8">
            <w:pPr>
              <w:spacing w:before="60" w:after="60" w:line="240" w:lineRule="auto"/>
              <w:ind w:firstLine="0"/>
              <w:rPr>
                <w:b/>
                <w:sz w:val="22"/>
              </w:rPr>
            </w:pPr>
            <w:r w:rsidRPr="00E52FF7">
              <w:rPr>
                <w:b/>
                <w:sz w:val="22"/>
              </w:rPr>
              <w:t>N</w:t>
            </w:r>
            <w:r w:rsidR="00BE00F8" w:rsidRPr="00E52FF7">
              <w:rPr>
                <w:b/>
                <w:sz w:val="22"/>
              </w:rPr>
              <w:t>O</w:t>
            </w:r>
          </w:p>
        </w:tc>
      </w:tr>
      <w:tr w:rsidR="002F10F6" w:rsidRPr="00E52FF7" w:rsidTr="002B21CD">
        <w:tc>
          <w:tcPr>
            <w:tcW w:w="738" w:type="dxa"/>
            <w:tcBorders>
              <w:top w:val="single" w:sz="4" w:space="0" w:color="auto"/>
              <w:left w:val="single" w:sz="4" w:space="0" w:color="auto"/>
              <w:bottom w:val="single" w:sz="4" w:space="0" w:color="auto"/>
              <w:right w:val="nil"/>
            </w:tcBorders>
          </w:tcPr>
          <w:p w:rsidR="002F10F6" w:rsidRPr="00E52FF7" w:rsidRDefault="002F10F6" w:rsidP="00884489">
            <w:pPr>
              <w:spacing w:before="60" w:after="60" w:line="240" w:lineRule="auto"/>
              <w:ind w:firstLine="0"/>
              <w:rPr>
                <w:b/>
                <w:sz w:val="22"/>
              </w:rPr>
            </w:pPr>
          </w:p>
        </w:tc>
        <w:tc>
          <w:tcPr>
            <w:tcW w:w="8442" w:type="dxa"/>
            <w:tcBorders>
              <w:top w:val="single" w:sz="4" w:space="0" w:color="auto"/>
              <w:left w:val="nil"/>
              <w:bottom w:val="single" w:sz="4" w:space="0" w:color="auto"/>
              <w:right w:val="nil"/>
            </w:tcBorders>
          </w:tcPr>
          <w:p w:rsidR="002F10F6" w:rsidRPr="00E52FF7" w:rsidRDefault="002F10F6" w:rsidP="00BE00F8">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Adjournment</w:t>
            </w:r>
          </w:p>
        </w:tc>
        <w:tc>
          <w:tcPr>
            <w:tcW w:w="1620" w:type="dxa"/>
            <w:tcBorders>
              <w:top w:val="single" w:sz="4" w:space="0" w:color="auto"/>
              <w:left w:val="nil"/>
              <w:bottom w:val="single" w:sz="4" w:space="0" w:color="auto"/>
              <w:right w:val="single" w:sz="4" w:space="0" w:color="auto"/>
            </w:tcBorders>
          </w:tcPr>
          <w:p w:rsidR="002F10F6" w:rsidRPr="00E52FF7" w:rsidRDefault="002F10F6" w:rsidP="00BE00F8">
            <w:pPr>
              <w:spacing w:before="60" w:after="60" w:line="240" w:lineRule="auto"/>
              <w:ind w:firstLine="0"/>
              <w:rPr>
                <w:b/>
                <w:sz w:val="22"/>
              </w:rPr>
            </w:pPr>
          </w:p>
        </w:tc>
      </w:tr>
    </w:tbl>
    <w:p w:rsidR="00734548" w:rsidRPr="003A2841" w:rsidRDefault="00734548" w:rsidP="00734548">
      <w:pPr>
        <w:spacing w:line="240" w:lineRule="auto"/>
        <w:ind w:firstLine="0"/>
        <w:rPr>
          <w:b/>
          <w:sz w:val="22"/>
        </w:rPr>
      </w:pPr>
      <w:r w:rsidRPr="003A2841">
        <w:rPr>
          <w:b/>
          <w:sz w:val="22"/>
        </w:rPr>
        <w:t xml:space="preserve">Upcoming </w:t>
      </w:r>
      <w:r w:rsidR="00C73C68" w:rsidRPr="003A2841">
        <w:rPr>
          <w:b/>
          <w:sz w:val="22"/>
        </w:rPr>
        <w:t>Calendar</w:t>
      </w:r>
      <w:r w:rsidRPr="003A2841">
        <w:rPr>
          <w:b/>
          <w:sz w:val="22"/>
        </w:rPr>
        <w:t xml:space="preserve"> Dates</w:t>
      </w:r>
    </w:p>
    <w:p w:rsidR="00BE00F8" w:rsidRPr="003A2841" w:rsidRDefault="005E7A0F" w:rsidP="00F856AE">
      <w:pPr>
        <w:pStyle w:val="ListParagraph"/>
        <w:numPr>
          <w:ilvl w:val="0"/>
          <w:numId w:val="6"/>
        </w:numPr>
        <w:spacing w:before="60" w:after="60" w:line="240" w:lineRule="auto"/>
        <w:contextualSpacing w:val="0"/>
        <w:rPr>
          <w:sz w:val="22"/>
        </w:rPr>
      </w:pPr>
      <w:r w:rsidRPr="003A2841">
        <w:rPr>
          <w:sz w:val="22"/>
        </w:rPr>
        <w:t xml:space="preserve">University Senate Standing Committees – </w:t>
      </w:r>
      <w:r w:rsidR="00DD5683" w:rsidRPr="003A2841">
        <w:rPr>
          <w:sz w:val="22"/>
        </w:rPr>
        <w:t xml:space="preserve">Friday, </w:t>
      </w:r>
      <w:r w:rsidR="00C30730" w:rsidRPr="003A2841">
        <w:rPr>
          <w:sz w:val="22"/>
        </w:rPr>
        <w:t>December</w:t>
      </w:r>
      <w:r w:rsidR="00DD5683" w:rsidRPr="003A2841">
        <w:rPr>
          <w:sz w:val="22"/>
        </w:rPr>
        <w:t xml:space="preserve"> </w:t>
      </w:r>
      <w:r w:rsidR="00C30730" w:rsidRPr="003A2841">
        <w:rPr>
          <w:sz w:val="22"/>
        </w:rPr>
        <w:t>2</w:t>
      </w:r>
      <w:r w:rsidR="00DD5683" w:rsidRPr="003A2841">
        <w:rPr>
          <w:sz w:val="22"/>
        </w:rPr>
        <w:t>, 201</w:t>
      </w:r>
      <w:r w:rsidR="00164CF1" w:rsidRPr="003A2841">
        <w:rPr>
          <w:sz w:val="22"/>
        </w:rPr>
        <w:t xml:space="preserve">6 at </w:t>
      </w:r>
      <w:r w:rsidR="00BC4846" w:rsidRPr="003A2841">
        <w:rPr>
          <w:sz w:val="22"/>
        </w:rPr>
        <w:t>2:00 p.m.</w:t>
      </w:r>
    </w:p>
    <w:p w:rsidR="006463FE" w:rsidRPr="003A2841" w:rsidRDefault="006463FE" w:rsidP="00F856AE">
      <w:pPr>
        <w:pStyle w:val="ListParagraph"/>
        <w:numPr>
          <w:ilvl w:val="0"/>
          <w:numId w:val="6"/>
        </w:numPr>
        <w:spacing w:before="60" w:after="60" w:line="240" w:lineRule="auto"/>
        <w:contextualSpacing w:val="0"/>
        <w:rPr>
          <w:sz w:val="22"/>
        </w:rPr>
      </w:pPr>
      <w:r w:rsidRPr="003A2841">
        <w:rPr>
          <w:sz w:val="22"/>
        </w:rPr>
        <w:t xml:space="preserve">Executive Committee with Standing Committee Chairs – Friday, </w:t>
      </w:r>
      <w:r w:rsidR="00C30730" w:rsidRPr="003A2841">
        <w:rPr>
          <w:sz w:val="22"/>
        </w:rPr>
        <w:t>December</w:t>
      </w:r>
      <w:r w:rsidR="00AE0422" w:rsidRPr="003A2841">
        <w:rPr>
          <w:sz w:val="22"/>
        </w:rPr>
        <w:t xml:space="preserve"> </w:t>
      </w:r>
      <w:r w:rsidR="00C30730" w:rsidRPr="003A2841">
        <w:rPr>
          <w:sz w:val="22"/>
        </w:rPr>
        <w:t>2</w:t>
      </w:r>
      <w:r w:rsidRPr="003A2841">
        <w:rPr>
          <w:sz w:val="22"/>
        </w:rPr>
        <w:t>, 201</w:t>
      </w:r>
      <w:r w:rsidR="00164CF1" w:rsidRPr="003A2841">
        <w:rPr>
          <w:sz w:val="22"/>
        </w:rPr>
        <w:t>6</w:t>
      </w:r>
      <w:r w:rsidRPr="003A2841">
        <w:rPr>
          <w:sz w:val="22"/>
        </w:rPr>
        <w:t xml:space="preserve"> </w:t>
      </w:r>
      <w:r w:rsidR="00164CF1" w:rsidRPr="003A2841">
        <w:rPr>
          <w:sz w:val="22"/>
        </w:rPr>
        <w:t xml:space="preserve">at </w:t>
      </w:r>
      <w:r w:rsidRPr="003A2841">
        <w:rPr>
          <w:sz w:val="22"/>
        </w:rPr>
        <w:t>3:30 p.m.</w:t>
      </w:r>
    </w:p>
    <w:p w:rsidR="00B8362E" w:rsidRDefault="00884489" w:rsidP="00F856AE">
      <w:pPr>
        <w:pStyle w:val="ListParagraph"/>
        <w:numPr>
          <w:ilvl w:val="0"/>
          <w:numId w:val="6"/>
        </w:numPr>
        <w:spacing w:before="60" w:after="60" w:line="240" w:lineRule="auto"/>
        <w:contextualSpacing w:val="0"/>
        <w:rPr>
          <w:sz w:val="22"/>
        </w:rPr>
      </w:pPr>
      <w:r w:rsidRPr="003A2841">
        <w:rPr>
          <w:sz w:val="22"/>
        </w:rPr>
        <w:t>University Senate Meeting –</w:t>
      </w:r>
      <w:r w:rsidR="00BC4846" w:rsidRPr="003A2841">
        <w:rPr>
          <w:sz w:val="22"/>
        </w:rPr>
        <w:t xml:space="preserve"> Friday, </w:t>
      </w:r>
      <w:r w:rsidR="00C30730" w:rsidRPr="003A2841">
        <w:rPr>
          <w:sz w:val="22"/>
        </w:rPr>
        <w:t>January 20</w:t>
      </w:r>
      <w:r w:rsidR="00BC4846" w:rsidRPr="003A2841">
        <w:rPr>
          <w:sz w:val="22"/>
        </w:rPr>
        <w:t>, 201</w:t>
      </w:r>
      <w:r w:rsidR="00C30730" w:rsidRPr="003A2841">
        <w:rPr>
          <w:sz w:val="22"/>
        </w:rPr>
        <w:t>7</w:t>
      </w:r>
      <w:r w:rsidR="00BC4846" w:rsidRPr="003A2841">
        <w:rPr>
          <w:sz w:val="22"/>
        </w:rPr>
        <w:t xml:space="preserve"> </w:t>
      </w:r>
      <w:r w:rsidR="00164CF1" w:rsidRPr="003A2841">
        <w:rPr>
          <w:sz w:val="22"/>
        </w:rPr>
        <w:t xml:space="preserve">at </w:t>
      </w:r>
      <w:r w:rsidR="00BC4846" w:rsidRPr="003A2841">
        <w:rPr>
          <w:sz w:val="22"/>
        </w:rPr>
        <w:t>3:30 p.m.</w:t>
      </w:r>
    </w:p>
    <w:p w:rsidR="002B21CD" w:rsidRPr="003A2841" w:rsidRDefault="002B21CD" w:rsidP="002B21CD">
      <w:pPr>
        <w:pStyle w:val="ListParagraph"/>
        <w:spacing w:line="240" w:lineRule="auto"/>
        <w:ind w:firstLine="0"/>
        <w:contextualSpacing w:val="0"/>
        <w:rPr>
          <w:sz w:val="22"/>
        </w:rPr>
      </w:pPr>
    </w:p>
    <w:tbl>
      <w:tblPr>
        <w:tblStyle w:val="TableGrid"/>
        <w:tblW w:w="0" w:type="auto"/>
        <w:tblLook w:val="04A0" w:firstRow="1" w:lastRow="0" w:firstColumn="1" w:lastColumn="0" w:noHBand="0" w:noVBand="1"/>
      </w:tblPr>
      <w:tblGrid>
        <w:gridCol w:w="10790"/>
      </w:tblGrid>
      <w:tr w:rsidR="00E52FF7" w:rsidTr="00E52FF7">
        <w:tc>
          <w:tcPr>
            <w:tcW w:w="10790" w:type="dxa"/>
          </w:tcPr>
          <w:p w:rsidR="00E52FF7" w:rsidRPr="00FE2F09" w:rsidRDefault="00E52FF7" w:rsidP="00E52FF7">
            <w:pPr>
              <w:spacing w:line="240" w:lineRule="auto"/>
              <w:ind w:firstLine="0"/>
              <w:jc w:val="center"/>
              <w:rPr>
                <w:rStyle w:val="Hyperlink"/>
                <w:b/>
                <w:color w:val="auto"/>
                <w:szCs w:val="24"/>
                <w:u w:val="none"/>
              </w:rPr>
            </w:pPr>
            <w:r w:rsidRPr="00FE2F09">
              <w:rPr>
                <w:rStyle w:val="Hyperlink"/>
                <w:b/>
                <w:color w:val="auto"/>
                <w:szCs w:val="24"/>
                <w:u w:val="none"/>
              </w:rPr>
              <w:t>Consent Agenda</w:t>
            </w:r>
          </w:p>
          <w:p w:rsidR="00E52FF7" w:rsidRPr="00FB5BBA" w:rsidRDefault="00E52FF7" w:rsidP="00E52FF7">
            <w:pPr>
              <w:spacing w:line="240" w:lineRule="auto"/>
              <w:ind w:firstLine="0"/>
              <w:jc w:val="center"/>
              <w:rPr>
                <w:rStyle w:val="Hyperlink"/>
                <w:b/>
                <w:color w:val="auto"/>
                <w:szCs w:val="24"/>
                <w:u w:val="none"/>
              </w:rPr>
            </w:pPr>
            <w:r w:rsidRPr="00FB5BBA">
              <w:rPr>
                <w:rStyle w:val="Hyperlink"/>
                <w:b/>
                <w:color w:val="auto"/>
                <w:szCs w:val="24"/>
                <w:u w:val="none"/>
              </w:rPr>
              <w:t>Special Rule of Order</w:t>
            </w:r>
          </w:p>
          <w:p w:rsidR="00E52FF7" w:rsidRDefault="00E52FF7" w:rsidP="00E52FF7">
            <w:pPr>
              <w:spacing w:after="120" w:line="240" w:lineRule="auto"/>
              <w:ind w:firstLine="0"/>
              <w:jc w:val="center"/>
              <w:rPr>
                <w:rStyle w:val="Hyperlink"/>
                <w:b/>
                <w:color w:val="auto"/>
                <w:u w:val="none"/>
              </w:rPr>
            </w:pPr>
            <w:r w:rsidRPr="00FB5BBA">
              <w:rPr>
                <w:rStyle w:val="Hyperlink"/>
                <w:i/>
                <w:color w:val="auto"/>
                <w:szCs w:val="24"/>
                <w:u w:val="none"/>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tc>
      </w:tr>
      <w:tr w:rsidR="00E52FF7" w:rsidTr="00E52FF7">
        <w:tc>
          <w:tcPr>
            <w:tcW w:w="10790" w:type="dxa"/>
          </w:tcPr>
          <w:p w:rsidR="00362065" w:rsidRDefault="00E52FF7" w:rsidP="00F13182">
            <w:pPr>
              <w:spacing w:after="120" w:line="240" w:lineRule="auto"/>
              <w:ind w:left="360" w:firstLine="0"/>
              <w:jc w:val="center"/>
              <w:rPr>
                <w:rStyle w:val="Hyperlink"/>
                <w:b/>
                <w:color w:val="auto"/>
                <w:u w:val="none"/>
              </w:rPr>
            </w:pPr>
            <w:r w:rsidRPr="00184422">
              <w:rPr>
                <w:rStyle w:val="Hyperlink"/>
                <w:b/>
                <w:color w:val="auto"/>
                <w:u w:val="none"/>
              </w:rPr>
              <w:t>Details of Consent Agenda Items</w:t>
            </w:r>
          </w:p>
          <w:p w:rsidR="00E52FF7" w:rsidRPr="00E52FF7" w:rsidRDefault="00E52FF7" w:rsidP="00E52FF7">
            <w:pPr>
              <w:pStyle w:val="ListParagraph"/>
              <w:numPr>
                <w:ilvl w:val="0"/>
                <w:numId w:val="32"/>
              </w:numPr>
              <w:spacing w:line="240" w:lineRule="auto"/>
              <w:ind w:hanging="90"/>
              <w:rPr>
                <w:sz w:val="22"/>
              </w:rPr>
            </w:pPr>
            <w:r w:rsidRPr="00E52FF7">
              <w:rPr>
                <w:bCs/>
                <w:i/>
                <w:u w:val="single"/>
              </w:rPr>
              <w:t xml:space="preserve">New Course KINS 4253 – Modify Existing Program </w:t>
            </w:r>
            <w:r>
              <w:t>– The new course proposal, KINS 4253, will replace a former “special topics” course. It will be added to the pre-professional concentration, replacing KINS 4343. The following prerequisite change will be made: In the Fitness and Performance Concentration, KINS 3212 will replace KINS 2103. The title of Internship in Exercise Science will be assigned to KINS 4206 for registration clarity and programmatic tracking.</w:t>
            </w:r>
          </w:p>
          <w:p w:rsidR="00E52FF7" w:rsidRPr="00D14515" w:rsidRDefault="00E52FF7" w:rsidP="00E52FF7">
            <w:pPr>
              <w:pStyle w:val="ListParagraph"/>
              <w:spacing w:line="240" w:lineRule="auto"/>
              <w:ind w:left="360" w:firstLine="0"/>
              <w:rPr>
                <w:sz w:val="22"/>
              </w:rPr>
            </w:pPr>
          </w:p>
          <w:p w:rsidR="00E52FF7" w:rsidRDefault="00E52FF7" w:rsidP="00E52FF7">
            <w:pPr>
              <w:pStyle w:val="ListParagraph"/>
              <w:numPr>
                <w:ilvl w:val="0"/>
                <w:numId w:val="32"/>
              </w:numPr>
              <w:spacing w:line="240" w:lineRule="auto"/>
              <w:ind w:hanging="90"/>
            </w:pPr>
            <w:r w:rsidRPr="00E52FF7">
              <w:rPr>
                <w:bCs/>
                <w:i/>
                <w:u w:val="single"/>
              </w:rPr>
              <w:t xml:space="preserve">Internships KINS – Modify Existing Program </w:t>
            </w:r>
            <w:r>
              <w:t>– A title of Internship in Public Health will be assigned to KINS 4306 for registration clarity and programmatic tracking.</w:t>
            </w:r>
          </w:p>
          <w:p w:rsidR="00E52FF7" w:rsidRDefault="00E52FF7" w:rsidP="00E52FF7">
            <w:pPr>
              <w:pStyle w:val="ListParagraph"/>
              <w:spacing w:line="240" w:lineRule="auto"/>
              <w:ind w:left="360" w:firstLine="0"/>
            </w:pPr>
          </w:p>
          <w:p w:rsidR="00E52FF7" w:rsidRDefault="00E52FF7" w:rsidP="00E52FF7">
            <w:pPr>
              <w:pStyle w:val="ListParagraph"/>
              <w:numPr>
                <w:ilvl w:val="0"/>
                <w:numId w:val="32"/>
              </w:numPr>
              <w:spacing w:line="240" w:lineRule="auto"/>
              <w:ind w:hanging="90"/>
            </w:pPr>
            <w:r w:rsidRPr="00E52FF7">
              <w:rPr>
                <w:bCs/>
                <w:i/>
                <w:u w:val="single"/>
              </w:rPr>
              <w:t>Minor in Physical Education – Modify Existing Program</w:t>
            </w:r>
            <w:r w:rsidRPr="00E52FF7">
              <w:rPr>
                <w:b/>
                <w:bCs/>
              </w:rPr>
              <w:t xml:space="preserve"> </w:t>
            </w:r>
            <w:r>
              <w:t>– Modifications will be made to the minor in Physical Education to allow students more choices of courses to satisfy the minor. KINS 3203, KINS 3103, ODED 2110, and ODED 2140 will be added as 3 credit hour options for the minor in Physical Education. KINS 3203 and KINS 3103 will be removed from the required courses.</w:t>
            </w:r>
          </w:p>
          <w:p w:rsidR="00E52FF7" w:rsidRPr="00E52FF7" w:rsidRDefault="00E52FF7" w:rsidP="00E52FF7">
            <w:pPr>
              <w:pStyle w:val="ListParagraph"/>
              <w:spacing w:line="240" w:lineRule="auto"/>
              <w:ind w:left="360" w:firstLine="0"/>
            </w:pPr>
          </w:p>
          <w:p w:rsidR="00E52FF7" w:rsidRDefault="00E52FF7" w:rsidP="00E52FF7">
            <w:pPr>
              <w:pStyle w:val="ListParagraph"/>
              <w:numPr>
                <w:ilvl w:val="0"/>
                <w:numId w:val="32"/>
              </w:numPr>
              <w:spacing w:line="240" w:lineRule="auto"/>
              <w:ind w:hanging="90"/>
            </w:pPr>
            <w:r w:rsidRPr="00E52FF7">
              <w:rPr>
                <w:bCs/>
                <w:i/>
                <w:u w:val="single"/>
              </w:rPr>
              <w:t>Outdoor Education Courses – Modify Existing Program</w:t>
            </w:r>
            <w:r w:rsidRPr="00E52FF7">
              <w:rPr>
                <w:b/>
                <w:bCs/>
              </w:rPr>
              <w:t xml:space="preserve"> </w:t>
            </w:r>
            <w:r>
              <w:t>– Modifications will be made to the prerequisites for ODED 3530, 3540, 4520, 4540, 4560,</w:t>
            </w:r>
            <w:r w:rsidR="00FD2CA3">
              <w:t xml:space="preserve"> </w:t>
            </w:r>
            <w:r>
              <w:t>4908, 4920, and 2150. All other prerequisites will be removed.</w:t>
            </w:r>
          </w:p>
          <w:p w:rsidR="00E52FF7" w:rsidRDefault="00E52FF7" w:rsidP="00E52FF7">
            <w:pPr>
              <w:pStyle w:val="ListParagraph"/>
              <w:spacing w:line="240" w:lineRule="auto"/>
              <w:ind w:left="360" w:firstLine="0"/>
            </w:pPr>
          </w:p>
          <w:p w:rsidR="00E52FF7" w:rsidRDefault="00E52FF7" w:rsidP="00E52FF7">
            <w:pPr>
              <w:pStyle w:val="ListParagraph"/>
              <w:numPr>
                <w:ilvl w:val="0"/>
                <w:numId w:val="32"/>
              </w:numPr>
              <w:spacing w:line="240" w:lineRule="auto"/>
              <w:ind w:hanging="90"/>
            </w:pPr>
            <w:r w:rsidRPr="00E52FF7">
              <w:rPr>
                <w:bCs/>
                <w:i/>
                <w:u w:val="single"/>
              </w:rPr>
              <w:t>Prerequisites for Global Health – Modify Existing Program</w:t>
            </w:r>
            <w:r>
              <w:t xml:space="preserve"> – The prerequisites for the major and/or minor in Global Health Studies will be delineated to allow students pursuing the minor to register for a 4000 level course.</w:t>
            </w:r>
          </w:p>
          <w:p w:rsidR="00E52FF7" w:rsidRDefault="00E52FF7" w:rsidP="00E52FF7">
            <w:pPr>
              <w:pStyle w:val="ListParagraph"/>
              <w:spacing w:line="240" w:lineRule="auto"/>
              <w:ind w:left="360" w:firstLine="0"/>
            </w:pPr>
          </w:p>
          <w:p w:rsidR="00E52FF7" w:rsidRDefault="00E52FF7" w:rsidP="00E52FF7">
            <w:pPr>
              <w:pStyle w:val="ListParagraph"/>
              <w:numPr>
                <w:ilvl w:val="0"/>
                <w:numId w:val="32"/>
              </w:numPr>
              <w:spacing w:line="240" w:lineRule="auto"/>
              <w:ind w:hanging="90"/>
            </w:pPr>
            <w:r w:rsidRPr="00E52FF7">
              <w:rPr>
                <w:bCs/>
                <w:i/>
                <w:u w:val="single"/>
              </w:rPr>
              <w:t>New Course, M.A. in Art Therapy – Modify Existing Program</w:t>
            </w:r>
            <w:r>
              <w:t xml:space="preserve"> – ARTH 6900 Specialization: Trauma and Art Therapy will satisfy current standards set by the American Art Therapy Association that states that programs must offer an area of specialization. It must be added spring 2017 for current students to meet the requirements.</w:t>
            </w:r>
          </w:p>
          <w:p w:rsidR="00E52FF7" w:rsidRDefault="00E52FF7" w:rsidP="00E52FF7">
            <w:pPr>
              <w:pStyle w:val="ListParagraph"/>
              <w:spacing w:line="240" w:lineRule="auto"/>
              <w:ind w:left="360" w:firstLine="0"/>
            </w:pPr>
          </w:p>
          <w:p w:rsidR="00E52FF7" w:rsidRDefault="00E52FF7" w:rsidP="00E52FF7">
            <w:pPr>
              <w:pStyle w:val="ListParagraph"/>
              <w:numPr>
                <w:ilvl w:val="0"/>
                <w:numId w:val="32"/>
              </w:numPr>
              <w:spacing w:line="240" w:lineRule="auto"/>
              <w:ind w:hanging="90"/>
            </w:pPr>
            <w:r w:rsidRPr="00E52FF7">
              <w:rPr>
                <w:bCs/>
                <w:i/>
                <w:u w:val="single"/>
              </w:rPr>
              <w:t>Master of Music Therapy</w:t>
            </w:r>
            <w:r>
              <w:rPr>
                <w:bCs/>
                <w:i/>
                <w:u w:val="single"/>
              </w:rPr>
              <w:t xml:space="preserve"> </w:t>
            </w:r>
            <w:r w:rsidRPr="00E52FF7">
              <w:rPr>
                <w:bCs/>
                <w:i/>
                <w:u w:val="single"/>
              </w:rPr>
              <w:t>– Modify Existing Program</w:t>
            </w:r>
            <w:r>
              <w:t xml:space="preserve"> – Changes are proposed to the Master of Music Therapy. These changes are proposed to align the MMT more closely with healthcare need and the American Music Therapy Association Advanced Competencies. The current MMT is 30 credit hours; the proposal will result in 35 credit hours. Four new course</w:t>
            </w:r>
            <w:r w:rsidR="00535C7B">
              <w:t>s</w:t>
            </w:r>
            <w:r>
              <w:t xml:space="preserve"> will be added, one new course will be added to the supportive classes, and the number of supportive courses will be reduced from 9 credits to 6 credits. MUST 6490 Comprehensive Examination and MUST 6610 Project or Thesis Defense will be discontinued as courses and become part of the Thesis/Final Project process for graduation.</w:t>
            </w:r>
          </w:p>
          <w:p w:rsidR="00E52FF7" w:rsidRDefault="00E52FF7" w:rsidP="00E52FF7">
            <w:pPr>
              <w:pStyle w:val="ListParagraph"/>
              <w:spacing w:line="240" w:lineRule="auto"/>
              <w:ind w:left="360" w:firstLine="0"/>
            </w:pPr>
          </w:p>
          <w:p w:rsidR="00627757" w:rsidRPr="00CD61CD" w:rsidRDefault="00E52FF7" w:rsidP="00627757">
            <w:pPr>
              <w:pStyle w:val="ListParagraph"/>
              <w:numPr>
                <w:ilvl w:val="0"/>
                <w:numId w:val="32"/>
              </w:numPr>
              <w:spacing w:line="240" w:lineRule="auto"/>
              <w:ind w:hanging="90"/>
              <w:rPr>
                <w:b/>
              </w:rPr>
            </w:pPr>
            <w:r w:rsidRPr="00E52FF7">
              <w:rPr>
                <w:bCs/>
                <w:i/>
                <w:u w:val="single"/>
              </w:rPr>
              <w:t>New Course KINS 6560</w:t>
            </w:r>
            <w:r w:rsidRPr="00E52FF7">
              <w:rPr>
                <w:i/>
                <w:u w:val="single"/>
              </w:rPr>
              <w:t xml:space="preserve"> </w:t>
            </w:r>
            <w:r w:rsidRPr="00E52FF7">
              <w:rPr>
                <w:bCs/>
                <w:i/>
                <w:u w:val="single"/>
              </w:rPr>
              <w:t>– Modify Existing</w:t>
            </w:r>
            <w:r w:rsidR="00535C7B">
              <w:rPr>
                <w:bCs/>
                <w:i/>
                <w:u w:val="single"/>
              </w:rPr>
              <w:t xml:space="preserve"> Program</w:t>
            </w:r>
            <w:r>
              <w:t xml:space="preserve"> – KINS 6560 Health Policy Analysis will replace a former “special topics” course.</w:t>
            </w:r>
          </w:p>
          <w:p w:rsidR="00362065" w:rsidRDefault="00362065" w:rsidP="00CD61CD">
            <w:pPr>
              <w:pStyle w:val="ListParagraph"/>
              <w:spacing w:line="240" w:lineRule="auto"/>
              <w:ind w:left="360" w:firstLine="0"/>
              <w:rPr>
                <w:rStyle w:val="Hyperlink"/>
                <w:b/>
                <w:color w:val="auto"/>
                <w:u w:val="none"/>
              </w:rPr>
            </w:pPr>
          </w:p>
          <w:p w:rsidR="00F13182" w:rsidRPr="00E52FF7" w:rsidRDefault="00F13182" w:rsidP="00CD61CD">
            <w:pPr>
              <w:pStyle w:val="ListParagraph"/>
              <w:spacing w:line="240" w:lineRule="auto"/>
              <w:ind w:left="360" w:firstLine="0"/>
              <w:rPr>
                <w:rStyle w:val="Hyperlink"/>
                <w:b/>
                <w:color w:val="auto"/>
                <w:u w:val="none"/>
              </w:rPr>
            </w:pPr>
          </w:p>
        </w:tc>
      </w:tr>
    </w:tbl>
    <w:p w:rsidR="00D14515" w:rsidRPr="00184422" w:rsidRDefault="00D14515" w:rsidP="00627757">
      <w:pPr>
        <w:spacing w:after="120" w:line="240" w:lineRule="auto"/>
        <w:ind w:firstLine="0"/>
        <w:rPr>
          <w:rStyle w:val="Hyperlink"/>
          <w:b/>
          <w:color w:val="auto"/>
          <w:u w:val="none"/>
        </w:rPr>
      </w:pPr>
    </w:p>
    <w:sectPr w:rsidR="00D14515" w:rsidRPr="00184422" w:rsidSect="004801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52E" w:rsidRDefault="0065752E" w:rsidP="001153E0">
      <w:pPr>
        <w:spacing w:line="240" w:lineRule="auto"/>
      </w:pPr>
      <w:r>
        <w:separator/>
      </w:r>
    </w:p>
  </w:endnote>
  <w:endnote w:type="continuationSeparator" w:id="0">
    <w:p w:rsidR="0065752E" w:rsidRDefault="0065752E"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52E" w:rsidRDefault="0065752E" w:rsidP="001153E0">
      <w:pPr>
        <w:spacing w:line="240" w:lineRule="auto"/>
      </w:pPr>
      <w:r>
        <w:separator/>
      </w:r>
    </w:p>
  </w:footnote>
  <w:footnote w:type="continuationSeparator" w:id="0">
    <w:p w:rsidR="0065752E" w:rsidRDefault="0065752E" w:rsidP="001153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7592"/>
    <w:multiLevelType w:val="hybridMultilevel"/>
    <w:tmpl w:val="9046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A62D2"/>
    <w:multiLevelType w:val="multilevel"/>
    <w:tmpl w:val="C9F8ACBC"/>
    <w:lvl w:ilvl="0">
      <w:start w:val="4"/>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47D75"/>
    <w:multiLevelType w:val="hybridMultilevel"/>
    <w:tmpl w:val="740ED370"/>
    <w:lvl w:ilvl="0" w:tplc="0FB4A8F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 w15:restartNumberingAfterBreak="0">
    <w:nsid w:val="1EC6375C"/>
    <w:multiLevelType w:val="multilevel"/>
    <w:tmpl w:val="5B5C46E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72BE8"/>
    <w:multiLevelType w:val="hybridMultilevel"/>
    <w:tmpl w:val="C8E81900"/>
    <w:lvl w:ilvl="0" w:tplc="AF8059F0">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6" w15:restartNumberingAfterBreak="0">
    <w:nsid w:val="27F4029D"/>
    <w:multiLevelType w:val="multilevel"/>
    <w:tmpl w:val="FD789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C7D94"/>
    <w:multiLevelType w:val="hybridMultilevel"/>
    <w:tmpl w:val="83CC9F46"/>
    <w:lvl w:ilvl="0" w:tplc="5BC06B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08141F"/>
    <w:multiLevelType w:val="hybridMultilevel"/>
    <w:tmpl w:val="7E064B10"/>
    <w:lvl w:ilvl="0" w:tplc="4DC4AC16">
      <w:start w:val="1"/>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9" w15:restartNumberingAfterBreak="0">
    <w:nsid w:val="30450B7C"/>
    <w:multiLevelType w:val="hybridMultilevel"/>
    <w:tmpl w:val="9D101302"/>
    <w:lvl w:ilvl="0" w:tplc="6E5630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B771D8"/>
    <w:multiLevelType w:val="hybridMultilevel"/>
    <w:tmpl w:val="ACD88ED6"/>
    <w:lvl w:ilvl="0" w:tplc="9C32D1C2">
      <w:start w:val="1"/>
      <w:numFmt w:val="lowerLetter"/>
      <w:lvlText w:val="%1."/>
      <w:lvlJc w:val="left"/>
      <w:pPr>
        <w:ind w:left="1080" w:hanging="360"/>
      </w:pPr>
      <w:rPr>
        <w:rFonts w:eastAsiaTheme="majorEastAsia" w:cstheme="maj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3E865A93"/>
    <w:multiLevelType w:val="hybridMultilevel"/>
    <w:tmpl w:val="CE56673A"/>
    <w:lvl w:ilvl="0" w:tplc="99B8B2BA">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24472FA"/>
    <w:multiLevelType w:val="hybridMultilevel"/>
    <w:tmpl w:val="E0B87310"/>
    <w:lvl w:ilvl="0" w:tplc="ECF29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B0498E"/>
    <w:multiLevelType w:val="multilevel"/>
    <w:tmpl w:val="795C4BA2"/>
    <w:lvl w:ilvl="0">
      <w:start w:val="1"/>
      <w:numFmt w:val="lowerRoman"/>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185E74"/>
    <w:multiLevelType w:val="hybridMultilevel"/>
    <w:tmpl w:val="96941452"/>
    <w:lvl w:ilvl="0" w:tplc="990A873C">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15:restartNumberingAfterBreak="0">
    <w:nsid w:val="54494F25"/>
    <w:multiLevelType w:val="hybridMultilevel"/>
    <w:tmpl w:val="243801F8"/>
    <w:lvl w:ilvl="0" w:tplc="A872B1CA">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8" w15:restartNumberingAfterBreak="0">
    <w:nsid w:val="566A729C"/>
    <w:multiLevelType w:val="hybridMultilevel"/>
    <w:tmpl w:val="1BCA8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2E3049"/>
    <w:multiLevelType w:val="hybridMultilevel"/>
    <w:tmpl w:val="72C68B50"/>
    <w:lvl w:ilvl="0" w:tplc="19760B64">
      <w:start w:val="1"/>
      <w:numFmt w:val="low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956943"/>
    <w:multiLevelType w:val="hybridMultilevel"/>
    <w:tmpl w:val="097C5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79E5C7E"/>
    <w:multiLevelType w:val="hybridMultilevel"/>
    <w:tmpl w:val="14403DAE"/>
    <w:lvl w:ilvl="0" w:tplc="3430A36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8F24DDE"/>
    <w:multiLevelType w:val="multilevel"/>
    <w:tmpl w:val="D2A82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92332AA"/>
    <w:multiLevelType w:val="multilevel"/>
    <w:tmpl w:val="795C4BA2"/>
    <w:lvl w:ilvl="0">
      <w:start w:val="1"/>
      <w:numFmt w:val="lowerRoman"/>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604094"/>
    <w:multiLevelType w:val="hybridMultilevel"/>
    <w:tmpl w:val="5CBABC0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5" w15:restartNumberingAfterBreak="0">
    <w:nsid w:val="6F2A76F4"/>
    <w:multiLevelType w:val="hybridMultilevel"/>
    <w:tmpl w:val="7C58D692"/>
    <w:lvl w:ilvl="0" w:tplc="426ED836">
      <w:start w:val="1"/>
      <w:numFmt w:val="lowerRoman"/>
      <w:lvlText w:val="%1."/>
      <w:lvlJc w:val="left"/>
      <w:pPr>
        <w:ind w:left="702" w:hanging="360"/>
      </w:pPr>
      <w:rPr>
        <w:rFonts w:asciiTheme="minorHAnsi" w:eastAsiaTheme="majorEastAsia" w:hAnsiTheme="minorHAnsi" w:cstheme="maj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15:restartNumberingAfterBreak="0">
    <w:nsid w:val="6FD91A14"/>
    <w:multiLevelType w:val="multilevel"/>
    <w:tmpl w:val="D2A82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0BB0278"/>
    <w:multiLevelType w:val="hybridMultilevel"/>
    <w:tmpl w:val="EE2E0B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A0251A"/>
    <w:multiLevelType w:val="hybridMultilevel"/>
    <w:tmpl w:val="437428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FB2601"/>
    <w:multiLevelType w:val="hybridMultilevel"/>
    <w:tmpl w:val="685E53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1" w15:restartNumberingAfterBreak="0">
    <w:nsid w:val="7FFB224E"/>
    <w:multiLevelType w:val="hybridMultilevel"/>
    <w:tmpl w:val="886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3"/>
  </w:num>
  <w:num w:numId="5">
    <w:abstractNumId w:val="26"/>
  </w:num>
  <w:num w:numId="6">
    <w:abstractNumId w:val="4"/>
  </w:num>
  <w:num w:numId="7">
    <w:abstractNumId w:val="1"/>
  </w:num>
  <w:num w:numId="8">
    <w:abstractNumId w:val="25"/>
  </w:num>
  <w:num w:numId="9">
    <w:abstractNumId w:val="17"/>
  </w:num>
  <w:num w:numId="10">
    <w:abstractNumId w:val="16"/>
  </w:num>
  <w:num w:numId="11">
    <w:abstractNumId w:val="10"/>
  </w:num>
  <w:num w:numId="12">
    <w:abstractNumId w:val="9"/>
  </w:num>
  <w:num w:numId="13">
    <w:abstractNumId w:val="7"/>
  </w:num>
  <w:num w:numId="14">
    <w:abstractNumId w:val="0"/>
  </w:num>
  <w:num w:numId="15">
    <w:abstractNumId w:val="14"/>
  </w:num>
  <w:num w:numId="16">
    <w:abstractNumId w:val="8"/>
  </w:num>
  <w:num w:numId="17">
    <w:abstractNumId w:val="21"/>
  </w:num>
  <w:num w:numId="18">
    <w:abstractNumId w:val="30"/>
  </w:num>
  <w:num w:numId="19">
    <w:abstractNumId w:val="2"/>
  </w:num>
  <w:num w:numId="20">
    <w:abstractNumId w:val="5"/>
  </w:num>
  <w:num w:numId="21">
    <w:abstractNumId w:val="28"/>
  </w:num>
  <w:num w:numId="22">
    <w:abstractNumId w:val="31"/>
  </w:num>
  <w:num w:numId="23">
    <w:abstractNumId w:val="24"/>
  </w:num>
  <w:num w:numId="24">
    <w:abstractNumId w:val="18"/>
  </w:num>
  <w:num w:numId="25">
    <w:abstractNumId w:val="12"/>
  </w:num>
  <w:num w:numId="26">
    <w:abstractNumId w:val="6"/>
  </w:num>
  <w:num w:numId="27">
    <w:abstractNumId w:val="15"/>
  </w:num>
  <w:num w:numId="28">
    <w:abstractNumId w:val="29"/>
  </w:num>
  <w:num w:numId="29">
    <w:abstractNumId w:val="23"/>
  </w:num>
  <w:num w:numId="30">
    <w:abstractNumId w:val="27"/>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B8"/>
    <w:rsid w:val="0000566A"/>
    <w:rsid w:val="0003155B"/>
    <w:rsid w:val="00051D9A"/>
    <w:rsid w:val="00066356"/>
    <w:rsid w:val="00077D96"/>
    <w:rsid w:val="00082425"/>
    <w:rsid w:val="00090617"/>
    <w:rsid w:val="0009136F"/>
    <w:rsid w:val="000A4831"/>
    <w:rsid w:val="000B174B"/>
    <w:rsid w:val="000B2BF9"/>
    <w:rsid w:val="000C0A02"/>
    <w:rsid w:val="000D7919"/>
    <w:rsid w:val="000E2B53"/>
    <w:rsid w:val="000E3F89"/>
    <w:rsid w:val="000E71DA"/>
    <w:rsid w:val="00106E74"/>
    <w:rsid w:val="00114EEE"/>
    <w:rsid w:val="001153E0"/>
    <w:rsid w:val="00116D0A"/>
    <w:rsid w:val="001369AB"/>
    <w:rsid w:val="00137320"/>
    <w:rsid w:val="001403BA"/>
    <w:rsid w:val="00156D30"/>
    <w:rsid w:val="00164CF1"/>
    <w:rsid w:val="00165378"/>
    <w:rsid w:val="0017599D"/>
    <w:rsid w:val="001819C3"/>
    <w:rsid w:val="00184422"/>
    <w:rsid w:val="00191A66"/>
    <w:rsid w:val="0019250F"/>
    <w:rsid w:val="00192825"/>
    <w:rsid w:val="001D7ED1"/>
    <w:rsid w:val="001E2623"/>
    <w:rsid w:val="001E4ED3"/>
    <w:rsid w:val="001E60A2"/>
    <w:rsid w:val="0020616A"/>
    <w:rsid w:val="002101EC"/>
    <w:rsid w:val="00232DCD"/>
    <w:rsid w:val="00257EB9"/>
    <w:rsid w:val="00282D95"/>
    <w:rsid w:val="00286555"/>
    <w:rsid w:val="002930A9"/>
    <w:rsid w:val="00293D0D"/>
    <w:rsid w:val="002A2268"/>
    <w:rsid w:val="002B066C"/>
    <w:rsid w:val="002B21CD"/>
    <w:rsid w:val="002D2482"/>
    <w:rsid w:val="002D5F5E"/>
    <w:rsid w:val="002E1C48"/>
    <w:rsid w:val="002E4134"/>
    <w:rsid w:val="002F10F6"/>
    <w:rsid w:val="00304377"/>
    <w:rsid w:val="00304C30"/>
    <w:rsid w:val="003061AA"/>
    <w:rsid w:val="003261EC"/>
    <w:rsid w:val="0033475A"/>
    <w:rsid w:val="00336885"/>
    <w:rsid w:val="003518EB"/>
    <w:rsid w:val="003604E0"/>
    <w:rsid w:val="00362065"/>
    <w:rsid w:val="00374CD6"/>
    <w:rsid w:val="00380301"/>
    <w:rsid w:val="003A2841"/>
    <w:rsid w:val="003A708F"/>
    <w:rsid w:val="003B6C19"/>
    <w:rsid w:val="003D22D1"/>
    <w:rsid w:val="003E0AFD"/>
    <w:rsid w:val="003E5307"/>
    <w:rsid w:val="003F69DE"/>
    <w:rsid w:val="00401D99"/>
    <w:rsid w:val="00405866"/>
    <w:rsid w:val="004219E5"/>
    <w:rsid w:val="00425FDA"/>
    <w:rsid w:val="0042735A"/>
    <w:rsid w:val="0044662E"/>
    <w:rsid w:val="00457CB7"/>
    <w:rsid w:val="004627A9"/>
    <w:rsid w:val="00465883"/>
    <w:rsid w:val="00480187"/>
    <w:rsid w:val="00481C96"/>
    <w:rsid w:val="00483218"/>
    <w:rsid w:val="004849D5"/>
    <w:rsid w:val="00487A35"/>
    <w:rsid w:val="004A3412"/>
    <w:rsid w:val="004C67CF"/>
    <w:rsid w:val="004E07AA"/>
    <w:rsid w:val="004E7F06"/>
    <w:rsid w:val="0050032D"/>
    <w:rsid w:val="00505EAD"/>
    <w:rsid w:val="00535C7B"/>
    <w:rsid w:val="005367F0"/>
    <w:rsid w:val="00541B2B"/>
    <w:rsid w:val="00547064"/>
    <w:rsid w:val="005617AA"/>
    <w:rsid w:val="005672A1"/>
    <w:rsid w:val="00572398"/>
    <w:rsid w:val="00573D32"/>
    <w:rsid w:val="00574271"/>
    <w:rsid w:val="0059322E"/>
    <w:rsid w:val="00595A91"/>
    <w:rsid w:val="005A2589"/>
    <w:rsid w:val="005C527C"/>
    <w:rsid w:val="005C613F"/>
    <w:rsid w:val="005C78B3"/>
    <w:rsid w:val="005E2B4F"/>
    <w:rsid w:val="005E3229"/>
    <w:rsid w:val="005E7066"/>
    <w:rsid w:val="005E7A0F"/>
    <w:rsid w:val="005F6F91"/>
    <w:rsid w:val="00601962"/>
    <w:rsid w:val="00606CCF"/>
    <w:rsid w:val="006242D5"/>
    <w:rsid w:val="00627757"/>
    <w:rsid w:val="00631120"/>
    <w:rsid w:val="00636758"/>
    <w:rsid w:val="0063789F"/>
    <w:rsid w:val="006463FE"/>
    <w:rsid w:val="00654171"/>
    <w:rsid w:val="0065752E"/>
    <w:rsid w:val="00657FC8"/>
    <w:rsid w:val="0066060F"/>
    <w:rsid w:val="00664310"/>
    <w:rsid w:val="006665DB"/>
    <w:rsid w:val="006762AF"/>
    <w:rsid w:val="00685589"/>
    <w:rsid w:val="00692C35"/>
    <w:rsid w:val="006A4F35"/>
    <w:rsid w:val="006B269D"/>
    <w:rsid w:val="006C11A9"/>
    <w:rsid w:val="006C3051"/>
    <w:rsid w:val="006F5A67"/>
    <w:rsid w:val="00704200"/>
    <w:rsid w:val="00710A3B"/>
    <w:rsid w:val="007123EC"/>
    <w:rsid w:val="00722AEC"/>
    <w:rsid w:val="00723B46"/>
    <w:rsid w:val="00730BBD"/>
    <w:rsid w:val="007320EE"/>
    <w:rsid w:val="007331AD"/>
    <w:rsid w:val="00734548"/>
    <w:rsid w:val="00742AE9"/>
    <w:rsid w:val="007442F3"/>
    <w:rsid w:val="00750E1C"/>
    <w:rsid w:val="00770DF9"/>
    <w:rsid w:val="00774A05"/>
    <w:rsid w:val="00777849"/>
    <w:rsid w:val="00777D0E"/>
    <w:rsid w:val="0079393A"/>
    <w:rsid w:val="007B2010"/>
    <w:rsid w:val="007E5775"/>
    <w:rsid w:val="007F2C80"/>
    <w:rsid w:val="00815A60"/>
    <w:rsid w:val="0082072E"/>
    <w:rsid w:val="00844879"/>
    <w:rsid w:val="008567F5"/>
    <w:rsid w:val="00864C45"/>
    <w:rsid w:val="00865165"/>
    <w:rsid w:val="00867D1B"/>
    <w:rsid w:val="00884489"/>
    <w:rsid w:val="00891A1B"/>
    <w:rsid w:val="008C6B23"/>
    <w:rsid w:val="008C73B6"/>
    <w:rsid w:val="008E0A04"/>
    <w:rsid w:val="008E367F"/>
    <w:rsid w:val="008E789F"/>
    <w:rsid w:val="008F1597"/>
    <w:rsid w:val="00902859"/>
    <w:rsid w:val="00904123"/>
    <w:rsid w:val="00915FD4"/>
    <w:rsid w:val="00921230"/>
    <w:rsid w:val="00923058"/>
    <w:rsid w:val="00935319"/>
    <w:rsid w:val="0096132A"/>
    <w:rsid w:val="009675E2"/>
    <w:rsid w:val="0097404E"/>
    <w:rsid w:val="0098206D"/>
    <w:rsid w:val="009847F4"/>
    <w:rsid w:val="009903A7"/>
    <w:rsid w:val="00997BB8"/>
    <w:rsid w:val="009A4D20"/>
    <w:rsid w:val="009B7A8F"/>
    <w:rsid w:val="009D2167"/>
    <w:rsid w:val="009F48AE"/>
    <w:rsid w:val="009F68BB"/>
    <w:rsid w:val="00A0673E"/>
    <w:rsid w:val="00A14714"/>
    <w:rsid w:val="00A1713E"/>
    <w:rsid w:val="00A17180"/>
    <w:rsid w:val="00A24026"/>
    <w:rsid w:val="00A44C59"/>
    <w:rsid w:val="00A46C72"/>
    <w:rsid w:val="00A606EB"/>
    <w:rsid w:val="00A70263"/>
    <w:rsid w:val="00A81F0E"/>
    <w:rsid w:val="00AB2A76"/>
    <w:rsid w:val="00AB3CC4"/>
    <w:rsid w:val="00AB4F6C"/>
    <w:rsid w:val="00AD166B"/>
    <w:rsid w:val="00AD4C85"/>
    <w:rsid w:val="00AE0422"/>
    <w:rsid w:val="00AE2C9C"/>
    <w:rsid w:val="00B04113"/>
    <w:rsid w:val="00B1724C"/>
    <w:rsid w:val="00B34A39"/>
    <w:rsid w:val="00B61B3F"/>
    <w:rsid w:val="00B76F08"/>
    <w:rsid w:val="00B8362E"/>
    <w:rsid w:val="00B86CC1"/>
    <w:rsid w:val="00BA3C4E"/>
    <w:rsid w:val="00BC4846"/>
    <w:rsid w:val="00BE00F8"/>
    <w:rsid w:val="00BF02BF"/>
    <w:rsid w:val="00C00EAC"/>
    <w:rsid w:val="00C04CB5"/>
    <w:rsid w:val="00C10DB4"/>
    <w:rsid w:val="00C30730"/>
    <w:rsid w:val="00C34916"/>
    <w:rsid w:val="00C50749"/>
    <w:rsid w:val="00C52CE3"/>
    <w:rsid w:val="00C56DDB"/>
    <w:rsid w:val="00C62332"/>
    <w:rsid w:val="00C73C68"/>
    <w:rsid w:val="00C85E20"/>
    <w:rsid w:val="00CB3B1F"/>
    <w:rsid w:val="00CC7816"/>
    <w:rsid w:val="00CD0BF5"/>
    <w:rsid w:val="00CD61CD"/>
    <w:rsid w:val="00CF147E"/>
    <w:rsid w:val="00D116D9"/>
    <w:rsid w:val="00D14515"/>
    <w:rsid w:val="00D146A2"/>
    <w:rsid w:val="00D14E2D"/>
    <w:rsid w:val="00D4205F"/>
    <w:rsid w:val="00D6492E"/>
    <w:rsid w:val="00D64D80"/>
    <w:rsid w:val="00D73765"/>
    <w:rsid w:val="00D85E34"/>
    <w:rsid w:val="00D86277"/>
    <w:rsid w:val="00D908E1"/>
    <w:rsid w:val="00D943F1"/>
    <w:rsid w:val="00DA1218"/>
    <w:rsid w:val="00DA4078"/>
    <w:rsid w:val="00DB0F2C"/>
    <w:rsid w:val="00DB14B7"/>
    <w:rsid w:val="00DB2548"/>
    <w:rsid w:val="00DC400C"/>
    <w:rsid w:val="00DD4E9D"/>
    <w:rsid w:val="00DD5643"/>
    <w:rsid w:val="00DD5683"/>
    <w:rsid w:val="00DF1CA3"/>
    <w:rsid w:val="00DF3C19"/>
    <w:rsid w:val="00E07B3C"/>
    <w:rsid w:val="00E161D9"/>
    <w:rsid w:val="00E22FBB"/>
    <w:rsid w:val="00E270C8"/>
    <w:rsid w:val="00E40BDF"/>
    <w:rsid w:val="00E52FF7"/>
    <w:rsid w:val="00E846A3"/>
    <w:rsid w:val="00E90E28"/>
    <w:rsid w:val="00E9285C"/>
    <w:rsid w:val="00ED4D53"/>
    <w:rsid w:val="00EE4C2A"/>
    <w:rsid w:val="00EE65B8"/>
    <w:rsid w:val="00EF06E0"/>
    <w:rsid w:val="00EF5810"/>
    <w:rsid w:val="00F02123"/>
    <w:rsid w:val="00F13182"/>
    <w:rsid w:val="00F269BD"/>
    <w:rsid w:val="00F325FA"/>
    <w:rsid w:val="00F54F04"/>
    <w:rsid w:val="00F60F4A"/>
    <w:rsid w:val="00F84007"/>
    <w:rsid w:val="00F856AE"/>
    <w:rsid w:val="00F94121"/>
    <w:rsid w:val="00FA246D"/>
    <w:rsid w:val="00FB5BBA"/>
    <w:rsid w:val="00FC1E01"/>
    <w:rsid w:val="00FD2CA3"/>
    <w:rsid w:val="00FD4F2C"/>
    <w:rsid w:val="00FE2F09"/>
    <w:rsid w:val="00FF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F17D63-2826-4BD8-B941-773D8C67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3"/>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3"/>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3"/>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eeting-record-minutes/meeting-held-10212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te.gcsu.edu/motions/georgia-college-family-medical-leave-act-policy-1107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gcsu.edu/motions/deactivation-med-education-concentration-secondary-education-11072016" TargetMode="External"/><Relationship Id="rId5" Type="http://schemas.openxmlformats.org/officeDocument/2006/relationships/webSettings" Target="webSettings.xml"/><Relationship Id="rId10" Type="http://schemas.openxmlformats.org/officeDocument/2006/relationships/hyperlink" Target="https://senate.gcsu.edu/motions/deactivation-med-reading-language-and-literacy-11072016" TargetMode="External"/><Relationship Id="rId4" Type="http://schemas.openxmlformats.org/officeDocument/2006/relationships/settings" Target="settings.xml"/><Relationship Id="rId9" Type="http://schemas.openxmlformats.org/officeDocument/2006/relationships/hyperlink" Target="https://senate.gcsu.edu/motions/additions-csci-1301-and-csci-1302-area-d-science-and-math-majors-110720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9D44-A593-418D-A688-D69745CD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Steele</dc:creator>
  <cp:lastModifiedBy>Chavonda Mills</cp:lastModifiedBy>
  <cp:revision>118</cp:revision>
  <cp:lastPrinted>2016-09-08T02:37:00Z</cp:lastPrinted>
  <dcterms:created xsi:type="dcterms:W3CDTF">2016-09-08T01:52:00Z</dcterms:created>
  <dcterms:modified xsi:type="dcterms:W3CDTF">2016-11-11T14:23:00Z</dcterms:modified>
</cp:coreProperties>
</file>