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425CE6" w:rsidRDefault="0014666D" w:rsidP="00425CE6">
      <w:pPr>
        <w:pStyle w:val="Heading1"/>
      </w:pPr>
      <w:bookmarkStart w:id="0" w:name="_GoBack"/>
      <w:bookmarkEnd w:id="0"/>
      <w:r w:rsidRPr="00B11C50">
        <w:rPr>
          <w:smallCaps/>
          <w:sz w:val="28"/>
          <w:szCs w:val="28"/>
        </w:rPr>
        <w:t>Committee Name:</w:t>
      </w:r>
      <w:r w:rsidR="00425CE6">
        <w:rPr>
          <w:b w:val="0"/>
          <w:bCs w:val="0"/>
          <w:smallCaps/>
          <w:sz w:val="28"/>
          <w:szCs w:val="28"/>
        </w:rPr>
        <w:t xml:space="preserve"> </w:t>
      </w:r>
      <w:r w:rsidR="00425CE6">
        <w:t>Resources, Planning and Institutional Policy Committee</w:t>
      </w:r>
    </w:p>
    <w:p w:rsidR="00E97A2A" w:rsidRDefault="0014666D" w:rsidP="0014666D">
      <w:pPr>
        <w:rPr>
          <w:b/>
          <w:bCs/>
          <w:smallCaps/>
          <w:sz w:val="28"/>
          <w:szCs w:val="28"/>
        </w:rPr>
      </w:pPr>
      <w:proofErr w:type="gramStart"/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631D9A">
        <w:rPr>
          <w:b/>
          <w:bCs/>
          <w:smallCaps/>
          <w:sz w:val="28"/>
          <w:szCs w:val="28"/>
        </w:rPr>
        <w:t xml:space="preserve">:  </w:t>
      </w:r>
      <w:r w:rsidR="005E32D7">
        <w:rPr>
          <w:b/>
          <w:bCs/>
          <w:smallCaps/>
          <w:sz w:val="28"/>
          <w:szCs w:val="28"/>
        </w:rPr>
        <w:t>Feb</w:t>
      </w:r>
      <w:r w:rsidR="00631D9A">
        <w:rPr>
          <w:b/>
          <w:bCs/>
          <w:smallCaps/>
          <w:sz w:val="28"/>
          <w:szCs w:val="28"/>
        </w:rPr>
        <w:t>.</w:t>
      </w:r>
      <w:proofErr w:type="gramEnd"/>
      <w:r w:rsidR="00631D9A">
        <w:rPr>
          <w:b/>
          <w:bCs/>
          <w:smallCaps/>
          <w:sz w:val="28"/>
          <w:szCs w:val="28"/>
        </w:rPr>
        <w:t xml:space="preserve"> </w:t>
      </w:r>
      <w:r w:rsidR="00221E35">
        <w:rPr>
          <w:b/>
          <w:bCs/>
          <w:smallCaps/>
          <w:sz w:val="28"/>
          <w:szCs w:val="28"/>
        </w:rPr>
        <w:t>2</w:t>
      </w:r>
      <w:r w:rsidR="005E32D7">
        <w:rPr>
          <w:b/>
          <w:bCs/>
          <w:smallCaps/>
          <w:sz w:val="28"/>
          <w:szCs w:val="28"/>
        </w:rPr>
        <w:t>8</w:t>
      </w:r>
      <w:r w:rsidR="00221E35">
        <w:rPr>
          <w:b/>
          <w:bCs/>
          <w:smallCaps/>
          <w:sz w:val="28"/>
          <w:szCs w:val="28"/>
        </w:rPr>
        <w:t>th, 2014</w:t>
      </w:r>
      <w:r w:rsidR="00E97A2A">
        <w:rPr>
          <w:b/>
          <w:bCs/>
          <w:smallCaps/>
          <w:sz w:val="28"/>
          <w:szCs w:val="28"/>
        </w:rPr>
        <w:t>,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425CE6">
        <w:rPr>
          <w:b/>
          <w:bCs/>
          <w:smallCaps/>
          <w:sz w:val="28"/>
          <w:szCs w:val="28"/>
        </w:rPr>
        <w:t xml:space="preserve"> </w:t>
      </w:r>
      <w:r w:rsidR="00221E35">
        <w:rPr>
          <w:b/>
          <w:bCs/>
          <w:smallCaps/>
          <w:sz w:val="28"/>
          <w:szCs w:val="28"/>
        </w:rPr>
        <w:t>HSB 211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F957CC" w:rsidP="000F4925">
            <w:r>
              <w:t>Ben McM</w:t>
            </w:r>
            <w:r w:rsidR="001D6968">
              <w:t>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5E32D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1D6968" w:rsidP="000F4925">
            <w:r>
              <w:t>Jan Clark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EF1765" w:rsidP="000F4925">
            <w:pPr>
              <w:rPr>
                <w:sz w:val="36"/>
                <w:szCs w:val="36"/>
              </w:rPr>
            </w:pPr>
            <w:r w:rsidRPr="00EF1765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25CE6" w:rsidP="000F4925">
            <w:r>
              <w:t>Benjamin Davis</w:t>
            </w:r>
          </w:p>
        </w:tc>
        <w:tc>
          <w:tcPr>
            <w:tcW w:w="540" w:type="dxa"/>
            <w:vAlign w:val="center"/>
          </w:tcPr>
          <w:p w:rsidR="00973FD5" w:rsidRPr="000507F8" w:rsidRDefault="00221E3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Macon Mcginley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5E32D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Carol Ward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425CE6" w:rsidP="000F4925">
            <w:r>
              <w:t>Maureen Horgan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Doc St. Clair</w:t>
            </w:r>
          </w:p>
        </w:tc>
        <w:tc>
          <w:tcPr>
            <w:tcW w:w="540" w:type="dxa"/>
            <w:vAlign w:val="center"/>
          </w:tcPr>
          <w:p w:rsidR="00AC06FB" w:rsidRPr="000507F8" w:rsidRDefault="005E32D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Pat Wilkins</w:t>
            </w:r>
            <w:r w:rsidR="00221E35">
              <w:t xml:space="preserve"> 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Doug Oetter</w:t>
            </w:r>
          </w:p>
        </w:tc>
        <w:tc>
          <w:tcPr>
            <w:tcW w:w="54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Shea Groebner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26595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1D6968" w:rsidP="000F4925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973FD5" w:rsidRPr="000507F8" w:rsidRDefault="00583D62" w:rsidP="00583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Susan Allen</w:t>
            </w:r>
            <w:r w:rsidR="00221E35">
              <w:t xml:space="preserve"> (Dan Hann)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1D6968" w:rsidP="000F4925">
            <w:r>
              <w:t>Holly Nix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631D9A" w:rsidP="00D52430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Guests:  </w:t>
            </w:r>
            <w:r w:rsidR="005E32D7">
              <w:t>Lori Strawder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788"/>
        <w:gridCol w:w="3304"/>
        <w:gridCol w:w="2816"/>
      </w:tblGrid>
      <w:tr w:rsidR="00973FD5" w:rsidTr="00262110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30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973FD5">
            <w:pPr>
              <w:jc w:val="center"/>
              <w:rPr>
                <w:sz w:val="20"/>
              </w:rPr>
            </w:pPr>
          </w:p>
        </w:tc>
      </w:tr>
      <w:tr w:rsidR="00973FD5" w:rsidTr="00262110">
        <w:trPr>
          <w:trHeight w:val="710"/>
        </w:trPr>
        <w:tc>
          <w:tcPr>
            <w:tcW w:w="3132" w:type="dxa"/>
          </w:tcPr>
          <w:p w:rsidR="005E16FB" w:rsidRPr="00262110" w:rsidRDefault="00973FD5" w:rsidP="00F24912">
            <w:r w:rsidRPr="00262110">
              <w:rPr>
                <w:b/>
                <w:bCs/>
              </w:rPr>
              <w:t>I. Call to order</w:t>
            </w:r>
          </w:p>
        </w:tc>
        <w:tc>
          <w:tcPr>
            <w:tcW w:w="4788" w:type="dxa"/>
          </w:tcPr>
          <w:p w:rsidR="00973FD5" w:rsidRPr="00262110" w:rsidRDefault="00973FD5"/>
        </w:tc>
        <w:tc>
          <w:tcPr>
            <w:tcW w:w="3304" w:type="dxa"/>
          </w:tcPr>
          <w:p w:rsidR="00973FD5" w:rsidRPr="00262110" w:rsidRDefault="00654015" w:rsidP="005E32D7">
            <w:r w:rsidRPr="00262110">
              <w:t>Meeting was called to order</w:t>
            </w:r>
            <w:r w:rsidR="00D52430">
              <w:t xml:space="preserve"> at 2:0</w:t>
            </w:r>
            <w:r w:rsidR="005E32D7">
              <w:t>2</w:t>
            </w:r>
            <w:r w:rsidRPr="00262110">
              <w:t>.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 w:rsidTr="00262110">
        <w:trPr>
          <w:trHeight w:val="593"/>
        </w:trPr>
        <w:tc>
          <w:tcPr>
            <w:tcW w:w="3132" w:type="dxa"/>
          </w:tcPr>
          <w:p w:rsidR="005E16FB" w:rsidRPr="00262110" w:rsidRDefault="005E16FB" w:rsidP="00F24912">
            <w:pPr>
              <w:rPr>
                <w:b/>
                <w:bCs/>
              </w:rPr>
            </w:pPr>
            <w:r w:rsidRPr="00262110">
              <w:rPr>
                <w:b/>
                <w:bCs/>
              </w:rPr>
              <w:t>II.  Approval of Agenda</w:t>
            </w:r>
          </w:p>
        </w:tc>
        <w:tc>
          <w:tcPr>
            <w:tcW w:w="4788" w:type="dxa"/>
          </w:tcPr>
          <w:p w:rsidR="005E16FB" w:rsidRPr="00262110" w:rsidRDefault="005E16FB"/>
        </w:tc>
        <w:tc>
          <w:tcPr>
            <w:tcW w:w="3304" w:type="dxa"/>
          </w:tcPr>
          <w:p w:rsidR="005E16FB" w:rsidRPr="00262110" w:rsidRDefault="005E16FB" w:rsidP="00C550F1"/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 w:rsidTr="00262110">
        <w:trPr>
          <w:trHeight w:val="593"/>
        </w:trPr>
        <w:tc>
          <w:tcPr>
            <w:tcW w:w="3132" w:type="dxa"/>
          </w:tcPr>
          <w:p w:rsidR="00973FD5" w:rsidRPr="002C52B3" w:rsidRDefault="005E16FB">
            <w:pPr>
              <w:rPr>
                <w:b/>
                <w:bCs/>
              </w:rPr>
            </w:pPr>
            <w:r w:rsidRPr="002C52B3">
              <w:rPr>
                <w:b/>
                <w:bCs/>
              </w:rPr>
              <w:t>I</w:t>
            </w:r>
            <w:r w:rsidR="00973FD5" w:rsidRPr="002C52B3">
              <w:rPr>
                <w:b/>
                <w:bCs/>
              </w:rPr>
              <w:t>II. Approval of Minutes</w:t>
            </w:r>
          </w:p>
        </w:tc>
        <w:tc>
          <w:tcPr>
            <w:tcW w:w="4788" w:type="dxa"/>
          </w:tcPr>
          <w:p w:rsidR="00973FD5" w:rsidRPr="002C52B3" w:rsidRDefault="009261D1" w:rsidP="002C52B3">
            <w:pPr>
              <w:pStyle w:val="ListParagraph"/>
              <w:numPr>
                <w:ilvl w:val="0"/>
                <w:numId w:val="30"/>
              </w:numPr>
            </w:pPr>
            <w:r w:rsidRPr="002C52B3">
              <w:t>Minutes had been approved previously by electronic vote.</w:t>
            </w:r>
          </w:p>
        </w:tc>
        <w:tc>
          <w:tcPr>
            <w:tcW w:w="3304" w:type="dxa"/>
          </w:tcPr>
          <w:p w:rsidR="008B3C6D" w:rsidRPr="00262110" w:rsidRDefault="008B3C6D" w:rsidP="008B3C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9B" w:rsidRPr="00262110" w:rsidRDefault="004E039B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BA23DA" w:rsidTr="00262110">
        <w:trPr>
          <w:trHeight w:val="593"/>
        </w:trPr>
        <w:tc>
          <w:tcPr>
            <w:tcW w:w="3132" w:type="dxa"/>
          </w:tcPr>
          <w:p w:rsidR="00BA23DA" w:rsidRPr="002C52B3" w:rsidRDefault="00BA23DA" w:rsidP="00BA23DA">
            <w:pPr>
              <w:rPr>
                <w:b/>
                <w:bCs/>
              </w:rPr>
            </w:pPr>
            <w:r w:rsidRPr="002C52B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52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Information Items</w:t>
            </w:r>
          </w:p>
        </w:tc>
        <w:tc>
          <w:tcPr>
            <w:tcW w:w="4788" w:type="dxa"/>
          </w:tcPr>
          <w:p w:rsidR="00BA23DA" w:rsidRPr="002C52B3" w:rsidRDefault="00BA23DA" w:rsidP="002C52B3">
            <w:pPr>
              <w:pStyle w:val="ListParagraph"/>
              <w:numPr>
                <w:ilvl w:val="0"/>
                <w:numId w:val="30"/>
              </w:numPr>
            </w:pPr>
            <w:r>
              <w:t>None</w:t>
            </w:r>
          </w:p>
        </w:tc>
        <w:tc>
          <w:tcPr>
            <w:tcW w:w="3304" w:type="dxa"/>
          </w:tcPr>
          <w:p w:rsidR="00BA23DA" w:rsidRPr="00262110" w:rsidRDefault="00BA23DA" w:rsidP="008B3C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23DA" w:rsidRDefault="00BA23DA">
            <w:pPr>
              <w:rPr>
                <w:sz w:val="20"/>
              </w:rPr>
            </w:pPr>
          </w:p>
        </w:tc>
      </w:tr>
      <w:tr w:rsidR="00973FD5" w:rsidTr="00262110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Pr="00262110" w:rsidRDefault="005E16FB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 w:rsidR="00973FD5" w:rsidRPr="00262110">
              <w:rPr>
                <w:b/>
                <w:bCs/>
              </w:rPr>
              <w:t>. Old Business/Review of</w:t>
            </w:r>
          </w:p>
          <w:p w:rsidR="00973FD5" w:rsidRPr="00262110" w:rsidRDefault="00973FD5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Actions/Recommendations</w:t>
            </w:r>
          </w:p>
          <w:p w:rsidR="00EB2C53" w:rsidRDefault="00EB2C53" w:rsidP="00EB2C53">
            <w:pPr>
              <w:pStyle w:val="ListParagraph"/>
            </w:pPr>
          </w:p>
          <w:p w:rsidR="00EB2C53" w:rsidRDefault="00592393" w:rsidP="00EB2C53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Background Investigation Policy</w:t>
            </w:r>
            <w:r w:rsidR="00302A73">
              <w:t>, Maureen Horgan</w:t>
            </w:r>
          </w:p>
          <w:p w:rsidR="005E16FB" w:rsidRPr="00262110" w:rsidRDefault="005E16FB" w:rsidP="0079008F">
            <w:pPr>
              <w:tabs>
                <w:tab w:val="left" w:pos="0"/>
              </w:tabs>
            </w:pPr>
          </w:p>
        </w:tc>
        <w:tc>
          <w:tcPr>
            <w:tcW w:w="4788" w:type="dxa"/>
          </w:tcPr>
          <w:p w:rsidR="00EB2C53" w:rsidRDefault="00EB2C53" w:rsidP="00EB2C53">
            <w:pPr>
              <w:pStyle w:val="ListParagraph"/>
            </w:pPr>
          </w:p>
          <w:p w:rsidR="00EB2C53" w:rsidRDefault="00EB2C53" w:rsidP="00EB2C53">
            <w:pPr>
              <w:pStyle w:val="ListParagraph"/>
            </w:pPr>
          </w:p>
          <w:p w:rsidR="00EB2C53" w:rsidRDefault="00EB2C53" w:rsidP="00EB2C53">
            <w:pPr>
              <w:pStyle w:val="ListParagraph"/>
            </w:pPr>
          </w:p>
          <w:p w:rsidR="00814875" w:rsidRDefault="008E0A2E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8D3DFE">
              <w:rPr>
                <w:rFonts w:ascii="Times New Roman" w:hAnsi="Times New Roman"/>
              </w:rPr>
              <w:t xml:space="preserve">Maureen Horgan, Pat Wilkins, Carol Ward have worked together on updating the policy, </w:t>
            </w:r>
            <w:r w:rsidR="00E6183D" w:rsidRPr="00265959">
              <w:rPr>
                <w:rFonts w:ascii="Times New Roman" w:hAnsi="Times New Roman"/>
                <w:color w:val="auto"/>
              </w:rPr>
              <w:t xml:space="preserve">and copying General Counsel </w:t>
            </w:r>
            <w:r w:rsidR="008D3DFE" w:rsidRPr="00265959">
              <w:rPr>
                <w:rFonts w:ascii="Times New Roman" w:hAnsi="Times New Roman"/>
                <w:color w:val="auto"/>
              </w:rPr>
              <w:t xml:space="preserve">Marc </w:t>
            </w:r>
            <w:proofErr w:type="spellStart"/>
            <w:r w:rsidR="008D3DFE">
              <w:rPr>
                <w:rFonts w:ascii="Times New Roman" w:hAnsi="Times New Roman"/>
              </w:rPr>
              <w:t>Cardinalli</w:t>
            </w:r>
            <w:proofErr w:type="spellEnd"/>
          </w:p>
          <w:p w:rsidR="008D3DFE" w:rsidRDefault="008D3DFE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policy extends BOR policy to student workers and volunteers</w:t>
            </w:r>
          </w:p>
          <w:p w:rsidR="008D3DFE" w:rsidRDefault="008D3DFE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includes any student engaged in a position of trust, including volunteers</w:t>
            </w:r>
          </w:p>
          <w:p w:rsidR="008D3DFE" w:rsidRDefault="0087528B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definition of trust was taken from BOR policy.  Wordage was added to address sensitive information</w:t>
            </w:r>
          </w:p>
          <w:p w:rsidR="00E6183D" w:rsidRDefault="00596850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addition to a background check, if an employee has a P-Card, they must have a credit check performed.  </w:t>
            </w:r>
          </w:p>
          <w:p w:rsidR="0087528B" w:rsidRPr="00265959" w:rsidRDefault="00596850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credentials of faculty and professional positions are also checked.</w:t>
            </w:r>
          </w:p>
          <w:p w:rsidR="00596850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Q. I</w:t>
            </w:r>
            <w:r w:rsidR="00E86090" w:rsidRPr="00265959">
              <w:rPr>
                <w:rFonts w:ascii="Times New Roman" w:hAnsi="Times New Roman"/>
                <w:color w:val="auto"/>
              </w:rPr>
              <w:t xml:space="preserve">f students with </w:t>
            </w:r>
            <w:proofErr w:type="gramStart"/>
            <w:r w:rsidR="00E86090" w:rsidRPr="00265959">
              <w:rPr>
                <w:rFonts w:ascii="Times New Roman" w:hAnsi="Times New Roman"/>
                <w:color w:val="auto"/>
              </w:rPr>
              <w:t>afterhours</w:t>
            </w:r>
            <w:proofErr w:type="gramEnd"/>
            <w:r w:rsidR="00E86090" w:rsidRPr="00265959">
              <w:rPr>
                <w:rFonts w:ascii="Times New Roman" w:hAnsi="Times New Roman"/>
                <w:color w:val="auto"/>
              </w:rPr>
              <w:t xml:space="preserve"> access to campus facilities (SGA, Colon</w:t>
            </w:r>
            <w:r w:rsidR="00265959">
              <w:rPr>
                <w:rFonts w:ascii="Times New Roman" w:hAnsi="Times New Roman"/>
                <w:color w:val="auto"/>
              </w:rPr>
              <w:t>nad</w:t>
            </w:r>
            <w:r w:rsidR="00E86090" w:rsidRPr="00265959">
              <w:rPr>
                <w:rFonts w:ascii="Times New Roman" w:hAnsi="Times New Roman"/>
                <w:color w:val="auto"/>
              </w:rPr>
              <w:t xml:space="preserve">e, WRGC, etc…) need a background check.  </w:t>
            </w:r>
          </w:p>
          <w:p w:rsidR="00E86090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A. I</w:t>
            </w:r>
            <w:r w:rsidR="00E86090" w:rsidRPr="00265959">
              <w:rPr>
                <w:rFonts w:ascii="Times New Roman" w:hAnsi="Times New Roman"/>
                <w:color w:val="auto"/>
              </w:rPr>
              <w:t>f a student is assigned a key, they must have a background check, including workers and volunteers</w:t>
            </w:r>
          </w:p>
          <w:p w:rsidR="00E6183D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Q. W</w:t>
            </w:r>
            <w:r w:rsidR="009E2F98" w:rsidRPr="00265959">
              <w:rPr>
                <w:rFonts w:ascii="Times New Roman" w:hAnsi="Times New Roman"/>
                <w:color w:val="auto"/>
              </w:rPr>
              <w:t>hat on a background check</w:t>
            </w:r>
            <w:r w:rsidRPr="00265959">
              <w:rPr>
                <w:rFonts w:ascii="Times New Roman" w:hAnsi="Times New Roman"/>
                <w:color w:val="auto"/>
              </w:rPr>
              <w:t xml:space="preserve"> report</w:t>
            </w:r>
            <w:r w:rsidR="009E2F98" w:rsidRPr="00265959">
              <w:rPr>
                <w:rFonts w:ascii="Times New Roman" w:hAnsi="Times New Roman"/>
                <w:color w:val="auto"/>
              </w:rPr>
              <w:t xml:space="preserve"> would prevent a student from getting keys/hired? </w:t>
            </w:r>
          </w:p>
          <w:p w:rsidR="00E86090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A. </w:t>
            </w:r>
            <w:r w:rsidR="009E2F98" w:rsidRPr="00265959">
              <w:rPr>
                <w:rFonts w:ascii="Times New Roman" w:hAnsi="Times New Roman"/>
                <w:color w:val="auto"/>
              </w:rPr>
              <w:t>If there is a negative return, it goes to a triage group</w:t>
            </w:r>
            <w:r w:rsidR="00FE1B71" w:rsidRPr="00265959">
              <w:rPr>
                <w:rFonts w:ascii="Times New Roman" w:hAnsi="Times New Roman"/>
                <w:color w:val="auto"/>
              </w:rPr>
              <w:t xml:space="preserve"> (Chief HR Officer, Chief of Public Safety, General Counsel, </w:t>
            </w:r>
            <w:r w:rsidR="00437205" w:rsidRPr="00265959">
              <w:rPr>
                <w:rFonts w:ascii="Times New Roman" w:hAnsi="Times New Roman"/>
                <w:color w:val="auto"/>
              </w:rPr>
              <w:t xml:space="preserve">and </w:t>
            </w:r>
            <w:r w:rsidR="00FE1B71" w:rsidRPr="00265959">
              <w:rPr>
                <w:rFonts w:ascii="Times New Roman" w:hAnsi="Times New Roman"/>
                <w:color w:val="auto"/>
              </w:rPr>
              <w:t xml:space="preserve">a representative from the applicable </w:t>
            </w:r>
            <w:r w:rsidR="00437205" w:rsidRPr="00265959">
              <w:rPr>
                <w:rFonts w:ascii="Times New Roman" w:hAnsi="Times New Roman"/>
                <w:color w:val="auto"/>
              </w:rPr>
              <w:t>h</w:t>
            </w:r>
            <w:r w:rsidR="00FE1B71" w:rsidRPr="00265959">
              <w:rPr>
                <w:rFonts w:ascii="Times New Roman" w:hAnsi="Times New Roman"/>
                <w:color w:val="auto"/>
              </w:rPr>
              <w:t xml:space="preserve">iring </w:t>
            </w:r>
            <w:r w:rsidR="00437205" w:rsidRPr="00265959">
              <w:rPr>
                <w:rFonts w:ascii="Times New Roman" w:hAnsi="Times New Roman"/>
                <w:color w:val="auto"/>
              </w:rPr>
              <w:t>d</w:t>
            </w:r>
            <w:r w:rsidR="00FE1B71" w:rsidRPr="00265959">
              <w:rPr>
                <w:rFonts w:ascii="Times New Roman" w:hAnsi="Times New Roman"/>
                <w:color w:val="auto"/>
              </w:rPr>
              <w:t>epartment)</w:t>
            </w:r>
            <w:r w:rsidR="009E2F98" w:rsidRPr="00265959">
              <w:rPr>
                <w:rFonts w:ascii="Times New Roman" w:hAnsi="Times New Roman"/>
                <w:color w:val="auto"/>
              </w:rPr>
              <w:t>.  The members of the group independently look at the case and ask the student for further information if needed</w:t>
            </w:r>
          </w:p>
          <w:p w:rsidR="00E6183D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Q. </w:t>
            </w:r>
            <w:r w:rsidR="009E2F98" w:rsidRPr="00265959">
              <w:rPr>
                <w:rFonts w:ascii="Times New Roman" w:hAnsi="Times New Roman"/>
                <w:color w:val="auto"/>
              </w:rPr>
              <w:t xml:space="preserve">How long does a background check take?  </w:t>
            </w:r>
          </w:p>
          <w:p w:rsidR="009E2F98" w:rsidRPr="00265959" w:rsidRDefault="00E6183D" w:rsidP="00592393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A. </w:t>
            </w:r>
            <w:r w:rsidR="009E2F98" w:rsidRPr="00265959">
              <w:rPr>
                <w:rFonts w:ascii="Times New Roman" w:hAnsi="Times New Roman"/>
                <w:color w:val="auto"/>
              </w:rPr>
              <w:t>Except in August, the same day or the next day</w:t>
            </w:r>
          </w:p>
          <w:p w:rsidR="00794982" w:rsidRPr="00265959" w:rsidRDefault="00794982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lastRenderedPageBreak/>
              <w:t>The point was made that there might be first amendment infractions with this policy relating to student workers/volunteers with the Col</w:t>
            </w:r>
            <w:r w:rsidR="00265959" w:rsidRPr="00265959">
              <w:rPr>
                <w:rFonts w:ascii="Times New Roman" w:hAnsi="Times New Roman"/>
                <w:color w:val="auto"/>
              </w:rPr>
              <w:t>o</w:t>
            </w:r>
            <w:r w:rsidRPr="00265959">
              <w:rPr>
                <w:rFonts w:ascii="Times New Roman" w:hAnsi="Times New Roman"/>
                <w:color w:val="auto"/>
              </w:rPr>
              <w:t xml:space="preserve">nnade. </w:t>
            </w:r>
          </w:p>
          <w:p w:rsidR="00323E39" w:rsidRPr="00265959" w:rsidRDefault="00323E39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If a student on the newspaper staff had a negative hit on their background check, it would go to the triage group</w:t>
            </w:r>
          </w:p>
          <w:p w:rsidR="009E2F98" w:rsidRPr="00265959" w:rsidRDefault="00E6183D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Q. Then t</w:t>
            </w:r>
            <w:r w:rsidR="00794982" w:rsidRPr="00265959">
              <w:rPr>
                <w:rFonts w:ascii="Times New Roman" w:hAnsi="Times New Roman"/>
                <w:color w:val="auto"/>
              </w:rPr>
              <w:t>he triage board could prevent</w:t>
            </w:r>
            <w:r w:rsidR="00794982" w:rsidRPr="00265959">
              <w:rPr>
                <w:rFonts w:ascii="Times New Roman" w:hAnsi="Times New Roman"/>
                <w:strike/>
                <w:color w:val="auto"/>
              </w:rPr>
              <w:t xml:space="preserve"> </w:t>
            </w:r>
            <w:r w:rsidR="00794982" w:rsidRPr="00265959">
              <w:rPr>
                <w:rFonts w:ascii="Times New Roman" w:hAnsi="Times New Roman"/>
                <w:color w:val="auto"/>
              </w:rPr>
              <w:t xml:space="preserve">students from working on the newspaper </w:t>
            </w:r>
          </w:p>
          <w:p w:rsidR="00323E39" w:rsidRPr="00265959" w:rsidRDefault="00E6183D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A. </w:t>
            </w:r>
            <w:r w:rsidR="00323E39" w:rsidRPr="00265959">
              <w:rPr>
                <w:rFonts w:ascii="Times New Roman" w:hAnsi="Times New Roman"/>
                <w:color w:val="auto"/>
              </w:rPr>
              <w:t>It’s very rare something is found that prevents employment</w:t>
            </w:r>
          </w:p>
          <w:p w:rsidR="00323E39" w:rsidRPr="00265959" w:rsidRDefault="00323E39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main issue is when potential employees lie on the formal application when asked about previous offenses</w:t>
            </w:r>
          </w:p>
          <w:p w:rsidR="00323E39" w:rsidRPr="00265959" w:rsidRDefault="003C4B16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burden of proof to present mitigating factors relies on the applicant</w:t>
            </w:r>
          </w:p>
          <w:p w:rsidR="003C4B16" w:rsidRPr="00265959" w:rsidRDefault="003C4B16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triage board will reach out to the applicant for further information if needed</w:t>
            </w:r>
          </w:p>
          <w:p w:rsidR="003C4B16" w:rsidRPr="00265959" w:rsidRDefault="003C4B16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There is a BOR policy for an appeals process</w:t>
            </w:r>
          </w:p>
          <w:p w:rsidR="003C4B16" w:rsidRPr="00265959" w:rsidRDefault="003C4B16" w:rsidP="00794982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 link for the appeals process will be in the policy</w:t>
            </w:r>
          </w:p>
          <w:p w:rsidR="003C4B16" w:rsidRPr="00265959" w:rsidRDefault="003C4B16" w:rsidP="003C4B16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Exemptions to the background check policy are defined in the policy</w:t>
            </w:r>
          </w:p>
          <w:p w:rsidR="003C4B16" w:rsidRPr="00265959" w:rsidRDefault="00E6183D" w:rsidP="003C4B16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Q. </w:t>
            </w:r>
            <w:r w:rsidR="003C4B16" w:rsidRPr="00265959">
              <w:rPr>
                <w:rFonts w:ascii="Times New Roman" w:hAnsi="Times New Roman"/>
                <w:color w:val="auto"/>
              </w:rPr>
              <w:t>Should members of the student press be added to the exemptions?</w:t>
            </w:r>
          </w:p>
          <w:p w:rsidR="003C4B16" w:rsidRDefault="00E6183D" w:rsidP="003C4B16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65959">
              <w:rPr>
                <w:rFonts w:ascii="Times New Roman" w:hAnsi="Times New Roman"/>
                <w:color w:val="auto"/>
              </w:rPr>
              <w:t>A.</w:t>
            </w:r>
            <w:r w:rsidR="003C4B16" w:rsidRPr="00265959">
              <w:rPr>
                <w:rFonts w:ascii="Times New Roman" w:hAnsi="Times New Roman"/>
                <w:color w:val="auto"/>
              </w:rPr>
              <w:t>The</w:t>
            </w:r>
            <w:proofErr w:type="spellEnd"/>
            <w:r w:rsidR="003C4B16" w:rsidRPr="00265959">
              <w:rPr>
                <w:rFonts w:ascii="Times New Roman" w:hAnsi="Times New Roman"/>
                <w:color w:val="auto"/>
              </w:rPr>
              <w:t xml:space="preserve"> supervisor is notified if they can proceed with hiring upon completion of the background </w:t>
            </w:r>
            <w:r w:rsidR="003C4B16">
              <w:rPr>
                <w:rFonts w:ascii="Times New Roman" w:hAnsi="Times New Roman"/>
              </w:rPr>
              <w:t>check</w:t>
            </w:r>
          </w:p>
          <w:p w:rsidR="003C4B16" w:rsidRDefault="003C4B16" w:rsidP="003C4B16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only other time a background check may be performed is when there is a promotion or change in job description</w:t>
            </w:r>
          </w:p>
          <w:p w:rsidR="003C4B16" w:rsidRPr="00265959" w:rsidRDefault="003C4B16" w:rsidP="003C4B16">
            <w:pPr>
              <w:pStyle w:val="FreeForm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There is no background check if the student is paid a stipend</w:t>
            </w:r>
          </w:p>
          <w:p w:rsidR="003C4B16" w:rsidRPr="003C4B16" w:rsidRDefault="003C4B16" w:rsidP="0004158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20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:rsidR="007229DC" w:rsidRDefault="007229DC" w:rsidP="007229DC">
            <w:pPr>
              <w:pStyle w:val="ListParagraph"/>
            </w:pPr>
          </w:p>
          <w:p w:rsidR="00973FD5" w:rsidRDefault="00973FD5" w:rsidP="00297EAF">
            <w:pPr>
              <w:pStyle w:val="ListParagraph"/>
            </w:pPr>
          </w:p>
          <w:p w:rsidR="00203D13" w:rsidRDefault="00203D13" w:rsidP="00297EAF">
            <w:pPr>
              <w:pStyle w:val="ListParagraph"/>
            </w:pPr>
          </w:p>
          <w:p w:rsidR="003C4B16" w:rsidRPr="00265959" w:rsidRDefault="00E6183D" w:rsidP="00203D13">
            <w:pPr>
              <w:pStyle w:val="ListParagraph"/>
              <w:numPr>
                <w:ilvl w:val="0"/>
                <w:numId w:val="30"/>
              </w:numPr>
            </w:pPr>
            <w:r w:rsidRPr="00265959">
              <w:lastRenderedPageBreak/>
              <w:t>Maureen Horgan will c</w:t>
            </w:r>
            <w:r w:rsidR="00203D13" w:rsidRPr="00265959">
              <w:t xml:space="preserve">heck with University Counsel and </w:t>
            </w:r>
            <w:r w:rsidRPr="00265959">
              <w:t xml:space="preserve">Macon McGinley will check with </w:t>
            </w:r>
            <w:r w:rsidR="00203D13" w:rsidRPr="00265959">
              <w:t xml:space="preserve">the Student Press Law Center regarding </w:t>
            </w:r>
            <w:r w:rsidRPr="00265959">
              <w:t xml:space="preserve">legal issues surrounding </w:t>
            </w:r>
            <w:r w:rsidR="00203D13" w:rsidRPr="00265959">
              <w:t xml:space="preserve">press freedom </w:t>
            </w:r>
          </w:p>
          <w:p w:rsidR="00203D13" w:rsidRPr="00262110" w:rsidRDefault="00E6183D" w:rsidP="00E6183D">
            <w:pPr>
              <w:pStyle w:val="ListParagraph"/>
              <w:numPr>
                <w:ilvl w:val="0"/>
                <w:numId w:val="30"/>
              </w:numPr>
            </w:pPr>
            <w:r w:rsidRPr="00265959">
              <w:t>If there are no legal issues, there will be a call for</w:t>
            </w:r>
            <w:r w:rsidR="003C4B16" w:rsidRPr="00265959">
              <w:t xml:space="preserve"> an electronic vote</w:t>
            </w:r>
            <w:r w:rsidR="00203D13" w:rsidRPr="00265959">
              <w:t xml:space="preserve"> </w:t>
            </w:r>
            <w:r w:rsidR="00C7156E" w:rsidRPr="00265959">
              <w:t>on this policy.</w:t>
            </w:r>
          </w:p>
        </w:tc>
        <w:tc>
          <w:tcPr>
            <w:tcW w:w="2816" w:type="dxa"/>
          </w:tcPr>
          <w:p w:rsidR="007229DC" w:rsidRPr="007229DC" w:rsidRDefault="007229DC" w:rsidP="007229DC">
            <w:pPr>
              <w:pStyle w:val="ListParagraph"/>
              <w:rPr>
                <w:sz w:val="20"/>
              </w:rPr>
            </w:pPr>
          </w:p>
          <w:p w:rsidR="007229DC" w:rsidRPr="007229DC" w:rsidRDefault="007229DC" w:rsidP="007229DC">
            <w:pPr>
              <w:pStyle w:val="ListParagraph"/>
              <w:rPr>
                <w:sz w:val="20"/>
              </w:rPr>
            </w:pPr>
          </w:p>
          <w:p w:rsidR="00973FD5" w:rsidRPr="007229DC" w:rsidRDefault="00973FD5" w:rsidP="00297EAF">
            <w:pPr>
              <w:pStyle w:val="ListParagraph"/>
              <w:rPr>
                <w:sz w:val="20"/>
              </w:rPr>
            </w:pPr>
          </w:p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0B0566" w:rsidP="00CA0D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</w:t>
            </w:r>
            <w:r w:rsidR="007E0146">
              <w:rPr>
                <w:b/>
                <w:bCs/>
              </w:rPr>
              <w:t>. New Business</w:t>
            </w:r>
          </w:p>
        </w:tc>
        <w:tc>
          <w:tcPr>
            <w:tcW w:w="4788" w:type="dxa"/>
          </w:tcPr>
          <w:p w:rsidR="00CA0D33" w:rsidRPr="00262110" w:rsidRDefault="00CA0D33" w:rsidP="00697439"/>
        </w:tc>
        <w:tc>
          <w:tcPr>
            <w:tcW w:w="3304" w:type="dxa"/>
          </w:tcPr>
          <w:p w:rsidR="00CA0D33" w:rsidRPr="00262110" w:rsidRDefault="00CA0D33" w:rsidP="009E3D43"/>
        </w:tc>
        <w:tc>
          <w:tcPr>
            <w:tcW w:w="2816" w:type="dxa"/>
          </w:tcPr>
          <w:p w:rsidR="00CA0D33" w:rsidRPr="00C423A1" w:rsidRDefault="00CA0D33" w:rsidP="009B0966"/>
        </w:tc>
      </w:tr>
      <w:tr w:rsidR="007E0146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7E0146" w:rsidRPr="0010189A" w:rsidRDefault="00302A73" w:rsidP="0010189A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Sustainability council recommendations, Doug Oetter</w:t>
            </w:r>
          </w:p>
        </w:tc>
        <w:tc>
          <w:tcPr>
            <w:tcW w:w="4788" w:type="dxa"/>
          </w:tcPr>
          <w:p w:rsidR="0010189A" w:rsidRDefault="00FB4650" w:rsidP="0047501C">
            <w:pPr>
              <w:pStyle w:val="ListParagraph"/>
              <w:numPr>
                <w:ilvl w:val="0"/>
                <w:numId w:val="37"/>
              </w:numPr>
            </w:pPr>
            <w:r>
              <w:t>Fiscal Year 2013 recommendations were submitted to RPIPC</w:t>
            </w:r>
          </w:p>
          <w:p w:rsidR="00FB4650" w:rsidRDefault="00FB4650" w:rsidP="0047501C">
            <w:pPr>
              <w:pStyle w:val="ListParagraph"/>
              <w:numPr>
                <w:ilvl w:val="0"/>
                <w:numId w:val="37"/>
              </w:numPr>
            </w:pPr>
            <w:r>
              <w:t>RPIPC endorsing the recommendations puts them into the public record and gives them more clout</w:t>
            </w:r>
          </w:p>
          <w:p w:rsidR="00FB4650" w:rsidRDefault="00FB4650" w:rsidP="0047501C">
            <w:pPr>
              <w:pStyle w:val="ListParagraph"/>
              <w:numPr>
                <w:ilvl w:val="0"/>
                <w:numId w:val="37"/>
              </w:numPr>
            </w:pPr>
            <w:r>
              <w:t xml:space="preserve">There are costs associated with the recommendations (President’s Climate Change Declaration, </w:t>
            </w:r>
            <w:proofErr w:type="spellStart"/>
            <w:r>
              <w:t>Talloires</w:t>
            </w:r>
            <w:proofErr w:type="spellEnd"/>
            <w:r>
              <w:t xml:space="preserve"> Declaration, Association for the Adv. Of Sustainability in Higher Ed, Tree Campus USA designation, and </w:t>
            </w:r>
            <w:proofErr w:type="spellStart"/>
            <w:r>
              <w:t>Leed</w:t>
            </w:r>
            <w:proofErr w:type="spellEnd"/>
            <w:r>
              <w:t xml:space="preserve"> certification)</w:t>
            </w:r>
            <w:r w:rsidR="00B80554">
              <w:t>, but there will not be a large cost immediately</w:t>
            </w:r>
          </w:p>
          <w:p w:rsidR="00B80554" w:rsidRDefault="00B80554" w:rsidP="0047501C">
            <w:pPr>
              <w:pStyle w:val="ListParagraph"/>
              <w:numPr>
                <w:ilvl w:val="0"/>
                <w:numId w:val="37"/>
              </w:numPr>
            </w:pPr>
            <w:r>
              <w:t xml:space="preserve">These recommendations are from the 2013 </w:t>
            </w:r>
            <w:r w:rsidR="00C7156E" w:rsidRPr="00265959">
              <w:t>Annual R</w:t>
            </w:r>
            <w:r w:rsidRPr="00265959">
              <w:t>eport</w:t>
            </w:r>
            <w:r w:rsidR="00C7156E" w:rsidRPr="00265959">
              <w:t>.</w:t>
            </w:r>
          </w:p>
          <w:p w:rsidR="00B80554" w:rsidRPr="00262110" w:rsidRDefault="00B80554" w:rsidP="0047501C">
            <w:pPr>
              <w:pStyle w:val="ListParagraph"/>
              <w:numPr>
                <w:ilvl w:val="0"/>
                <w:numId w:val="37"/>
              </w:numPr>
            </w:pPr>
            <w:r>
              <w:t>There is a recommendation to get carbon conservation going on campus</w:t>
            </w:r>
          </w:p>
        </w:tc>
        <w:tc>
          <w:tcPr>
            <w:tcW w:w="3304" w:type="dxa"/>
          </w:tcPr>
          <w:p w:rsidR="00C9036E" w:rsidRPr="00262110" w:rsidRDefault="00C7156E" w:rsidP="00CC38EF">
            <w:pPr>
              <w:pStyle w:val="ListParagraph"/>
              <w:numPr>
                <w:ilvl w:val="0"/>
                <w:numId w:val="37"/>
              </w:numPr>
            </w:pPr>
            <w:r w:rsidRPr="00265959">
              <w:t xml:space="preserve">RPIPC voted </w:t>
            </w:r>
            <w:r w:rsidR="0002707F" w:rsidRPr="00265959">
              <w:t xml:space="preserve">to endorse </w:t>
            </w:r>
            <w:r w:rsidRPr="00265959">
              <w:t xml:space="preserve">the </w:t>
            </w:r>
            <w:r w:rsidR="0002707F" w:rsidRPr="00265959">
              <w:t>Sustainability Council’s recommendations</w:t>
            </w:r>
          </w:p>
        </w:tc>
        <w:tc>
          <w:tcPr>
            <w:tcW w:w="2816" w:type="dxa"/>
          </w:tcPr>
          <w:p w:rsidR="007E0146" w:rsidRPr="00C423A1" w:rsidRDefault="007E0146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262110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 w:rsidR="000B0566">
              <w:rPr>
                <w:b/>
                <w:bCs/>
              </w:rPr>
              <w:t>II</w:t>
            </w:r>
            <w:r w:rsidRPr="00262110">
              <w:rPr>
                <w:b/>
                <w:bCs/>
              </w:rPr>
              <w:t xml:space="preserve">. </w:t>
            </w:r>
            <w:r w:rsidR="008E3A68">
              <w:rPr>
                <w:b/>
                <w:bCs/>
              </w:rPr>
              <w:t xml:space="preserve">Updates </w:t>
            </w:r>
            <w:r w:rsidRPr="00262110">
              <w:rPr>
                <w:b/>
                <w:bCs/>
              </w:rPr>
              <w:t>/ Actions/ Recommendations</w:t>
            </w:r>
          </w:p>
          <w:p w:rsidR="00CA0D33" w:rsidRPr="00262110" w:rsidRDefault="00CA0D33" w:rsidP="001718AB">
            <w:pPr>
              <w:rPr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CA0D33">
            <w:pPr>
              <w:pStyle w:val="ListParagraph"/>
              <w:ind w:left="1440"/>
            </w:pPr>
          </w:p>
        </w:tc>
        <w:tc>
          <w:tcPr>
            <w:tcW w:w="3304" w:type="dxa"/>
          </w:tcPr>
          <w:p w:rsidR="00CA0D33" w:rsidRPr="00262110" w:rsidRDefault="00CA0D33" w:rsidP="00F2491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320E68" w:rsidRDefault="00320E68" w:rsidP="00AC4A84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 xml:space="preserve"> Smoking policy</w:t>
            </w:r>
            <w:r w:rsidR="00AC4A84">
              <w:rPr>
                <w:bCs/>
              </w:rPr>
              <w:t>, Maureen Horgan</w:t>
            </w:r>
          </w:p>
        </w:tc>
        <w:tc>
          <w:tcPr>
            <w:tcW w:w="4788" w:type="dxa"/>
          </w:tcPr>
          <w:p w:rsidR="004248F3" w:rsidRPr="00262110" w:rsidRDefault="00AC4A84" w:rsidP="00AC4A84">
            <w:pPr>
              <w:pStyle w:val="ListParagraph"/>
              <w:numPr>
                <w:ilvl w:val="0"/>
                <w:numId w:val="39"/>
              </w:numPr>
            </w:pPr>
            <w:r w:rsidRPr="00265959">
              <w:t xml:space="preserve">The BOR meeting </w:t>
            </w:r>
            <w:r w:rsidR="00C7156E" w:rsidRPr="00265959">
              <w:t xml:space="preserve">that was to have included discussion and perhaps a vote on this topic </w:t>
            </w:r>
            <w:r w:rsidRPr="00265959">
              <w:t>was cancelled due to weather, so no decisions have been made</w:t>
            </w:r>
            <w:r w:rsidR="00C7156E" w:rsidRPr="00265959">
              <w:t>.</w:t>
            </w:r>
          </w:p>
        </w:tc>
        <w:tc>
          <w:tcPr>
            <w:tcW w:w="3304" w:type="dxa"/>
          </w:tcPr>
          <w:p w:rsidR="00CA0D33" w:rsidRPr="00DC6B2A" w:rsidRDefault="004248F3" w:rsidP="00AC4A84">
            <w:pPr>
              <w:pStyle w:val="ListParagraph"/>
              <w:numPr>
                <w:ilvl w:val="0"/>
                <w:numId w:val="39"/>
              </w:numPr>
            </w:pPr>
            <w:r>
              <w:t xml:space="preserve">Wait until the </w:t>
            </w:r>
            <w:r w:rsidR="00685B50">
              <w:t xml:space="preserve">next </w:t>
            </w:r>
            <w:r>
              <w:t xml:space="preserve">BOR meeting to see what happens.  </w:t>
            </w: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8E3A68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8E3A68" w:rsidRPr="008E3A68" w:rsidRDefault="00101B29" w:rsidP="00701F6A">
            <w:pPr>
              <w:pStyle w:val="ListParagraph"/>
              <w:numPr>
                <w:ilvl w:val="0"/>
                <w:numId w:val="31"/>
              </w:numPr>
              <w:ind w:left="72"/>
              <w:rPr>
                <w:bCs/>
              </w:rPr>
            </w:pPr>
            <w:r>
              <w:rPr>
                <w:bCs/>
              </w:rPr>
              <w:t xml:space="preserve">2.  </w:t>
            </w:r>
            <w:r w:rsidR="001C1791">
              <w:rPr>
                <w:bCs/>
              </w:rPr>
              <w:t>12-month and semi-  monthly pay option, Maureen Horgan</w:t>
            </w:r>
          </w:p>
        </w:tc>
        <w:tc>
          <w:tcPr>
            <w:tcW w:w="4788" w:type="dxa"/>
          </w:tcPr>
          <w:p w:rsidR="00627747" w:rsidRPr="00265959" w:rsidRDefault="00101B29" w:rsidP="00627747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t xml:space="preserve"> </w:t>
            </w:r>
            <w:r w:rsidR="00BA14CE" w:rsidRPr="00265959">
              <w:t xml:space="preserve">Maureen summarized the 150 responses she received from the </w:t>
            </w:r>
            <w:r w:rsidR="00BA14CE" w:rsidRPr="00265959">
              <w:rPr>
                <w:bCs/>
              </w:rPr>
              <w:t>12-month and s</w:t>
            </w:r>
            <w:r w:rsidR="00627747" w:rsidRPr="00265959">
              <w:rPr>
                <w:bCs/>
              </w:rPr>
              <w:t>emi-monthly pay option survey: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a. Would you support adding a 12-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proofErr w:type="gramStart"/>
            <w:r w:rsidRPr="00265959">
              <w:t>month</w:t>
            </w:r>
            <w:proofErr w:type="gramEnd"/>
            <w:r w:rsidRPr="00265959">
              <w:t xml:space="preserve"> pay option? 123 Yes 17 No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b. Would you select the 12-month pay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proofErr w:type="gramStart"/>
            <w:r w:rsidRPr="00265959">
              <w:t>option</w:t>
            </w:r>
            <w:proofErr w:type="gramEnd"/>
            <w:r w:rsidRPr="00265959">
              <w:t xml:space="preserve"> if it were available?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Yes 47 Maybe 57 No 36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c. Would you like RPIPC to pursue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proofErr w:type="gramStart"/>
            <w:r w:rsidRPr="00265959">
              <w:t>this</w:t>
            </w:r>
            <w:proofErr w:type="gramEnd"/>
            <w:r w:rsidRPr="00265959">
              <w:t>? Yes 120 No 20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Concerns expressed included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lastRenderedPageBreak/>
              <w:t>the fear that the 10-month option would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go away, or that selecting a 12-month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pay option would require faculty to be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proofErr w:type="gramStart"/>
            <w:r w:rsidRPr="00265959">
              <w:t>on</w:t>
            </w:r>
            <w:proofErr w:type="gramEnd"/>
            <w:r w:rsidRPr="00265959">
              <w:t xml:space="preserve"> campus 12 months. Other comments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ranged from “some faculty are so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irresponsible” to “I’m irresponsible” to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“I don’t know why this is not available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proofErr w:type="gramStart"/>
            <w:r w:rsidRPr="00265959">
              <w:t>now</w:t>
            </w:r>
            <w:proofErr w:type="gramEnd"/>
            <w:r w:rsidRPr="00265959">
              <w:t>, others do it.” One person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commented that even though our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materials said that a current option is to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have the monthly pay deposited into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multiple accounts, they were told this</w:t>
            </w:r>
          </w:p>
          <w:p w:rsidR="00627747" w:rsidRPr="00265959" w:rsidRDefault="00627747" w:rsidP="00627747">
            <w:pPr>
              <w:autoSpaceDE w:val="0"/>
              <w:autoSpaceDN w:val="0"/>
              <w:adjustRightInd w:val="0"/>
            </w:pPr>
            <w:r w:rsidRPr="00265959">
              <w:t>was not available when they asked about</w:t>
            </w:r>
          </w:p>
          <w:p w:rsidR="00101B29" w:rsidRPr="00627747" w:rsidRDefault="00627747" w:rsidP="0062774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 w:rsidRPr="00265959">
              <w:t>it</w:t>
            </w:r>
            <w:proofErr w:type="gramEnd"/>
            <w:r w:rsidRPr="00265959">
              <w:t xml:space="preserve"> – suggesting there may be a communication issue.</w:t>
            </w:r>
          </w:p>
        </w:tc>
        <w:tc>
          <w:tcPr>
            <w:tcW w:w="3304" w:type="dxa"/>
          </w:tcPr>
          <w:p w:rsidR="008E3A68" w:rsidRPr="00DC6B2A" w:rsidRDefault="009D2AD3" w:rsidP="00C7156E">
            <w:pPr>
              <w:pStyle w:val="ListParagraph"/>
              <w:numPr>
                <w:ilvl w:val="0"/>
                <w:numId w:val="40"/>
              </w:numPr>
            </w:pPr>
            <w:r w:rsidRPr="00265959">
              <w:lastRenderedPageBreak/>
              <w:t>Maureen will</w:t>
            </w:r>
            <w:r w:rsidR="00C7156E" w:rsidRPr="00265959">
              <w:t xml:space="preserve"> take this to the next step, which is to inquire with the USGFC (University System </w:t>
            </w:r>
            <w:proofErr w:type="gramStart"/>
            <w:r w:rsidR="00C7156E" w:rsidRPr="00265959">
              <w:t>of  Georgia</w:t>
            </w:r>
            <w:proofErr w:type="gramEnd"/>
            <w:r w:rsidR="00C7156E" w:rsidRPr="00265959">
              <w:t xml:space="preserve"> Faculty Council) and to</w:t>
            </w:r>
            <w:r w:rsidRPr="00265959">
              <w:t xml:space="preserve"> contact other schools</w:t>
            </w:r>
            <w:r w:rsidR="00C7156E" w:rsidRPr="00265959">
              <w:t xml:space="preserve"> to take a reading on the level of interest.</w:t>
            </w:r>
          </w:p>
        </w:tc>
        <w:tc>
          <w:tcPr>
            <w:tcW w:w="2816" w:type="dxa"/>
          </w:tcPr>
          <w:p w:rsidR="008E3A68" w:rsidRPr="00C423A1" w:rsidRDefault="008E3A68" w:rsidP="009B0966"/>
        </w:tc>
      </w:tr>
      <w:tr w:rsidR="00000467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000467" w:rsidRDefault="00000467" w:rsidP="000862D3">
            <w:pPr>
              <w:pStyle w:val="ListParagraph"/>
              <w:numPr>
                <w:ilvl w:val="0"/>
                <w:numId w:val="31"/>
              </w:numPr>
              <w:ind w:left="72"/>
              <w:rPr>
                <w:bCs/>
              </w:rPr>
            </w:pPr>
          </w:p>
        </w:tc>
        <w:tc>
          <w:tcPr>
            <w:tcW w:w="4788" w:type="dxa"/>
          </w:tcPr>
          <w:p w:rsidR="00661FBD" w:rsidRDefault="00661FBD" w:rsidP="003A12AE">
            <w:pPr>
              <w:pStyle w:val="ListParagraph"/>
              <w:jc w:val="both"/>
            </w:pPr>
          </w:p>
        </w:tc>
        <w:tc>
          <w:tcPr>
            <w:tcW w:w="3304" w:type="dxa"/>
          </w:tcPr>
          <w:p w:rsidR="00000467" w:rsidRDefault="00000467" w:rsidP="003A12AE">
            <w:pPr>
              <w:pStyle w:val="ListParagraph"/>
            </w:pPr>
          </w:p>
        </w:tc>
        <w:tc>
          <w:tcPr>
            <w:tcW w:w="2816" w:type="dxa"/>
          </w:tcPr>
          <w:p w:rsidR="00000467" w:rsidRPr="00C423A1" w:rsidRDefault="00000467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4A6A2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VI</w:t>
            </w:r>
            <w:r w:rsidR="000B0566">
              <w:rPr>
                <w:bCs w:val="0"/>
              </w:rPr>
              <w:t>I</w:t>
            </w:r>
            <w:r>
              <w:rPr>
                <w:bCs w:val="0"/>
              </w:rPr>
              <w:t>I. Reports</w:t>
            </w:r>
          </w:p>
          <w:p w:rsidR="00CA0D33" w:rsidRPr="00262110" w:rsidRDefault="00CA0D33" w:rsidP="00262110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59181E">
            <w:pPr>
              <w:pStyle w:val="ListParagraph"/>
            </w:pPr>
          </w:p>
          <w:p w:rsidR="00CA0D33" w:rsidRPr="00262110" w:rsidRDefault="00CA0D33" w:rsidP="00262110"/>
        </w:tc>
        <w:tc>
          <w:tcPr>
            <w:tcW w:w="3304" w:type="dxa"/>
          </w:tcPr>
          <w:p w:rsidR="00CA0D33" w:rsidRPr="00262110" w:rsidRDefault="00CA0D33" w:rsidP="00FD1D0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5C1080">
            <w:pPr>
              <w:rPr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262110">
            <w:pPr>
              <w:ind w:left="1080"/>
            </w:pPr>
          </w:p>
        </w:tc>
        <w:tc>
          <w:tcPr>
            <w:tcW w:w="3304" w:type="dxa"/>
          </w:tcPr>
          <w:p w:rsidR="00CA0D33" w:rsidRPr="00262110" w:rsidRDefault="00CA0D33" w:rsidP="00FD1D0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0B0566" w:rsidP="005E16FB">
            <w:r>
              <w:rPr>
                <w:b/>
                <w:bCs/>
              </w:rPr>
              <w:t>IX</w:t>
            </w:r>
            <w:r w:rsidR="00CA0D33" w:rsidRPr="00262110">
              <w:rPr>
                <w:b/>
                <w:bCs/>
              </w:rPr>
              <w:t>.  Next Meeting</w:t>
            </w:r>
          </w:p>
        </w:tc>
        <w:tc>
          <w:tcPr>
            <w:tcW w:w="4788" w:type="dxa"/>
          </w:tcPr>
          <w:p w:rsidR="00CA0D33" w:rsidRPr="00262110" w:rsidRDefault="00CA0D33" w:rsidP="0010110A">
            <w:pPr>
              <w:pStyle w:val="ListParagraph"/>
            </w:pPr>
            <w:r w:rsidRPr="00262110">
              <w:t xml:space="preserve">Friday, </w:t>
            </w:r>
            <w:r w:rsidR="0010110A">
              <w:t>April</w:t>
            </w:r>
            <w:r w:rsidRPr="00262110">
              <w:t xml:space="preserve">. </w:t>
            </w:r>
            <w:r w:rsidR="0010110A">
              <w:t>04</w:t>
            </w:r>
            <w:r w:rsidRPr="00EF3D8E">
              <w:rPr>
                <w:vertAlign w:val="superscript"/>
              </w:rPr>
              <w:t>th</w:t>
            </w:r>
            <w:r w:rsidRPr="00262110">
              <w:t xml:space="preserve">, 2:00pm, </w:t>
            </w:r>
            <w:r w:rsidR="009A6EA8">
              <w:t>HSB</w:t>
            </w:r>
            <w:r w:rsidRPr="00262110">
              <w:t xml:space="preserve"> 2</w:t>
            </w:r>
            <w:r w:rsidR="009A6EA8">
              <w:t>-11</w:t>
            </w:r>
          </w:p>
        </w:tc>
        <w:tc>
          <w:tcPr>
            <w:tcW w:w="3304" w:type="dxa"/>
          </w:tcPr>
          <w:p w:rsidR="00CA0D33" w:rsidRPr="00262110" w:rsidRDefault="00CA0D33" w:rsidP="00315ABB"/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583D62">
            <w:pPr>
              <w:pStyle w:val="Heading1"/>
            </w:pPr>
            <w:r>
              <w:t>X</w:t>
            </w:r>
            <w:r w:rsidRPr="00262110">
              <w:t>.  Adjournment</w:t>
            </w:r>
          </w:p>
          <w:p w:rsidR="00CA0D33" w:rsidRPr="00262110" w:rsidRDefault="00CA0D33" w:rsidP="004A6A23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788" w:type="dxa"/>
          </w:tcPr>
          <w:p w:rsidR="00CA0D33" w:rsidRPr="00262110" w:rsidRDefault="009A6EA8" w:rsidP="00EF3D8E">
            <w:r>
              <w:t>The meeting was adjourned at 3:3</w:t>
            </w:r>
            <w:r w:rsidR="00CA0D33" w:rsidRPr="00262110">
              <w:t>0pm</w:t>
            </w:r>
          </w:p>
        </w:tc>
        <w:tc>
          <w:tcPr>
            <w:tcW w:w="3304" w:type="dxa"/>
          </w:tcPr>
          <w:p w:rsidR="00CA0D33" w:rsidRPr="00262110" w:rsidRDefault="00CA0D33" w:rsidP="009A6EA8">
            <w:pPr>
              <w:pStyle w:val="ListParagraph"/>
            </w:pPr>
          </w:p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59181E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  <w:r w:rsidR="00FB6DF7"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83D62">
        <w:rPr>
          <w:b/>
          <w:bCs/>
          <w:smallCaps/>
          <w:sz w:val="28"/>
          <w:szCs w:val="28"/>
        </w:rPr>
        <w:t>RPIPC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83D62">
        <w:rPr>
          <w:b/>
          <w:bCs/>
          <w:smallCaps/>
          <w:sz w:val="28"/>
          <w:szCs w:val="28"/>
        </w:rPr>
        <w:t xml:space="preserve">Chair: </w:t>
      </w:r>
      <w:r w:rsidR="00583D62">
        <w:t>Maureen Horgan, Vice Chair: Jan Clark, Secretary: Ben Davis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83D62" w:rsidRPr="00583D62">
        <w:rPr>
          <w:b/>
          <w:bCs/>
          <w:smallCaps/>
          <w:sz w:val="28"/>
          <w:szCs w:val="28"/>
        </w:rPr>
        <w:t xml:space="preserve"> 2014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C06662" w:rsidRPr="0014666D" w:rsidRDefault="00C0666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892A7C">
            <w:pPr>
              <w:jc w:val="center"/>
              <w:rPr>
                <w:b/>
              </w:rPr>
            </w:pPr>
            <w:r w:rsidRPr="00583D62">
              <w:rPr>
                <w:b/>
              </w:rPr>
              <w:t>AUG. 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C0666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Pr="00583D62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34445F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 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7234F5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Jan. 24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1F285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Feb. 28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</w:tr>
      <w:tr w:rsidR="00C06662" w:rsidRPr="0014666D" w:rsidTr="007A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McMillan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662" w:rsidRPr="000507F8" w:rsidRDefault="0034445F" w:rsidP="003444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Davis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Doc St. Clair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Doug Oetter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Elizabeth McCauley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26595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Holly Nix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Jan 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Macon McGinley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Maureen Horgan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Pat Wilkins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Shea Groebner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34445F">
              <w:t>(Dan Hann)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7234F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34445F">
              <w:t>(Dan Hann)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1F285C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34445F">
              <w:t>(Dan Hann)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E4" w:rsidRDefault="009571E4">
      <w:r>
        <w:separator/>
      </w:r>
    </w:p>
  </w:endnote>
  <w:endnote w:type="continuationSeparator" w:id="0">
    <w:p w:rsidR="009571E4" w:rsidRDefault="009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E4" w:rsidRDefault="009571E4">
      <w:r>
        <w:separator/>
      </w:r>
    </w:p>
  </w:footnote>
  <w:footnote w:type="continuationSeparator" w:id="0">
    <w:p w:rsidR="009571E4" w:rsidRDefault="009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09FB"/>
    <w:multiLevelType w:val="hybridMultilevel"/>
    <w:tmpl w:val="196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E8C3879"/>
    <w:multiLevelType w:val="hybridMultilevel"/>
    <w:tmpl w:val="86E4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634DD5"/>
    <w:multiLevelType w:val="hybridMultilevel"/>
    <w:tmpl w:val="1CF0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4CF2"/>
    <w:multiLevelType w:val="hybridMultilevel"/>
    <w:tmpl w:val="DFD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AC35BC"/>
    <w:multiLevelType w:val="hybridMultilevel"/>
    <w:tmpl w:val="3D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1F2D42EE"/>
    <w:multiLevelType w:val="hybridMultilevel"/>
    <w:tmpl w:val="AFA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8362A"/>
    <w:multiLevelType w:val="hybridMultilevel"/>
    <w:tmpl w:val="292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AB59B3"/>
    <w:multiLevelType w:val="hybridMultilevel"/>
    <w:tmpl w:val="585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B60A9"/>
    <w:multiLevelType w:val="hybridMultilevel"/>
    <w:tmpl w:val="0AE09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883926"/>
    <w:multiLevelType w:val="hybridMultilevel"/>
    <w:tmpl w:val="4C2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B3F76"/>
    <w:multiLevelType w:val="hybridMultilevel"/>
    <w:tmpl w:val="5ED2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66623"/>
    <w:multiLevelType w:val="hybridMultilevel"/>
    <w:tmpl w:val="476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119F5"/>
    <w:multiLevelType w:val="hybridMultilevel"/>
    <w:tmpl w:val="68B8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5692B"/>
    <w:multiLevelType w:val="hybridMultilevel"/>
    <w:tmpl w:val="B814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867DC"/>
    <w:multiLevelType w:val="hybridMultilevel"/>
    <w:tmpl w:val="5F6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4803BC"/>
    <w:multiLevelType w:val="hybridMultilevel"/>
    <w:tmpl w:val="0E1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512B218A"/>
    <w:multiLevelType w:val="hybridMultilevel"/>
    <w:tmpl w:val="EF08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D75B9"/>
    <w:multiLevelType w:val="hybridMultilevel"/>
    <w:tmpl w:val="E7A6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B31EE4"/>
    <w:multiLevelType w:val="hybridMultilevel"/>
    <w:tmpl w:val="48F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853AE0"/>
    <w:multiLevelType w:val="hybridMultilevel"/>
    <w:tmpl w:val="D8F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B363F"/>
    <w:multiLevelType w:val="hybridMultilevel"/>
    <w:tmpl w:val="B98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523033"/>
    <w:multiLevelType w:val="hybridMultilevel"/>
    <w:tmpl w:val="9090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4BF6"/>
    <w:multiLevelType w:val="hybridMultilevel"/>
    <w:tmpl w:val="0EF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37F58"/>
    <w:multiLevelType w:val="hybridMultilevel"/>
    <w:tmpl w:val="715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>
    <w:nsid w:val="78C27502"/>
    <w:multiLevelType w:val="hybridMultilevel"/>
    <w:tmpl w:val="49D8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4"/>
  </w:num>
  <w:num w:numId="5">
    <w:abstractNumId w:val="34"/>
  </w:num>
  <w:num w:numId="6">
    <w:abstractNumId w:val="6"/>
  </w:num>
  <w:num w:numId="7">
    <w:abstractNumId w:val="26"/>
  </w:num>
  <w:num w:numId="8">
    <w:abstractNumId w:val="9"/>
  </w:num>
  <w:num w:numId="9">
    <w:abstractNumId w:val="31"/>
  </w:num>
  <w:num w:numId="10">
    <w:abstractNumId w:val="2"/>
  </w:num>
  <w:num w:numId="11">
    <w:abstractNumId w:val="38"/>
  </w:num>
  <w:num w:numId="12">
    <w:abstractNumId w:val="11"/>
  </w:num>
  <w:num w:numId="13">
    <w:abstractNumId w:val="10"/>
  </w:num>
  <w:num w:numId="14">
    <w:abstractNumId w:val="0"/>
  </w:num>
  <w:num w:numId="15">
    <w:abstractNumId w:val="30"/>
  </w:num>
  <w:num w:numId="16">
    <w:abstractNumId w:val="20"/>
  </w:num>
  <w:num w:numId="17">
    <w:abstractNumId w:val="13"/>
  </w:num>
  <w:num w:numId="18">
    <w:abstractNumId w:val="12"/>
  </w:num>
  <w:num w:numId="19">
    <w:abstractNumId w:val="8"/>
  </w:num>
  <w:num w:numId="20">
    <w:abstractNumId w:val="28"/>
  </w:num>
  <w:num w:numId="21">
    <w:abstractNumId w:val="15"/>
  </w:num>
  <w:num w:numId="22">
    <w:abstractNumId w:val="27"/>
  </w:num>
  <w:num w:numId="23">
    <w:abstractNumId w:val="4"/>
  </w:num>
  <w:num w:numId="24">
    <w:abstractNumId w:val="33"/>
  </w:num>
  <w:num w:numId="25">
    <w:abstractNumId w:val="21"/>
  </w:num>
  <w:num w:numId="26">
    <w:abstractNumId w:val="37"/>
  </w:num>
  <w:num w:numId="27">
    <w:abstractNumId w:val="1"/>
  </w:num>
  <w:num w:numId="28">
    <w:abstractNumId w:val="25"/>
  </w:num>
  <w:num w:numId="29">
    <w:abstractNumId w:val="21"/>
  </w:num>
  <w:num w:numId="30">
    <w:abstractNumId w:val="39"/>
  </w:num>
  <w:num w:numId="31">
    <w:abstractNumId w:val="23"/>
  </w:num>
  <w:num w:numId="32">
    <w:abstractNumId w:val="3"/>
  </w:num>
  <w:num w:numId="33">
    <w:abstractNumId w:val="36"/>
  </w:num>
  <w:num w:numId="34">
    <w:abstractNumId w:val="22"/>
  </w:num>
  <w:num w:numId="35">
    <w:abstractNumId w:val="19"/>
  </w:num>
  <w:num w:numId="36">
    <w:abstractNumId w:val="16"/>
  </w:num>
  <w:num w:numId="37">
    <w:abstractNumId w:val="29"/>
  </w:num>
  <w:num w:numId="38">
    <w:abstractNumId w:val="32"/>
  </w:num>
  <w:num w:numId="39">
    <w:abstractNumId w:val="5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467"/>
    <w:rsid w:val="000167FB"/>
    <w:rsid w:val="000215C8"/>
    <w:rsid w:val="00024F79"/>
    <w:rsid w:val="0002707F"/>
    <w:rsid w:val="00033569"/>
    <w:rsid w:val="0004158C"/>
    <w:rsid w:val="00041C23"/>
    <w:rsid w:val="000507F8"/>
    <w:rsid w:val="00071A3E"/>
    <w:rsid w:val="00074DFF"/>
    <w:rsid w:val="000770E5"/>
    <w:rsid w:val="00080EAA"/>
    <w:rsid w:val="0008395E"/>
    <w:rsid w:val="0008544B"/>
    <w:rsid w:val="000862D3"/>
    <w:rsid w:val="00092D4A"/>
    <w:rsid w:val="00095528"/>
    <w:rsid w:val="000B0566"/>
    <w:rsid w:val="000B6B06"/>
    <w:rsid w:val="000B780F"/>
    <w:rsid w:val="000F3792"/>
    <w:rsid w:val="000F4925"/>
    <w:rsid w:val="0010110A"/>
    <w:rsid w:val="0010189A"/>
    <w:rsid w:val="00101B29"/>
    <w:rsid w:val="00104BA6"/>
    <w:rsid w:val="0010559F"/>
    <w:rsid w:val="0014666D"/>
    <w:rsid w:val="00147526"/>
    <w:rsid w:val="001534E1"/>
    <w:rsid w:val="001639A4"/>
    <w:rsid w:val="00164A00"/>
    <w:rsid w:val="001718AB"/>
    <w:rsid w:val="00171EE3"/>
    <w:rsid w:val="001736BC"/>
    <w:rsid w:val="001757C4"/>
    <w:rsid w:val="00182B66"/>
    <w:rsid w:val="00190F09"/>
    <w:rsid w:val="00192D1B"/>
    <w:rsid w:val="001A2105"/>
    <w:rsid w:val="001C1791"/>
    <w:rsid w:val="001C7F61"/>
    <w:rsid w:val="001D046D"/>
    <w:rsid w:val="001D6968"/>
    <w:rsid w:val="001E511A"/>
    <w:rsid w:val="001F285C"/>
    <w:rsid w:val="001F3B0B"/>
    <w:rsid w:val="00203D13"/>
    <w:rsid w:val="002077E6"/>
    <w:rsid w:val="00221E35"/>
    <w:rsid w:val="00233260"/>
    <w:rsid w:val="0024533E"/>
    <w:rsid w:val="00262110"/>
    <w:rsid w:val="00265959"/>
    <w:rsid w:val="00272615"/>
    <w:rsid w:val="00276814"/>
    <w:rsid w:val="00280A66"/>
    <w:rsid w:val="00292D19"/>
    <w:rsid w:val="00297EAF"/>
    <w:rsid w:val="002B16B2"/>
    <w:rsid w:val="002C221C"/>
    <w:rsid w:val="002C3502"/>
    <w:rsid w:val="002C52B3"/>
    <w:rsid w:val="002D5FA3"/>
    <w:rsid w:val="002E6CDF"/>
    <w:rsid w:val="002F0883"/>
    <w:rsid w:val="002F2058"/>
    <w:rsid w:val="00302A73"/>
    <w:rsid w:val="003115F6"/>
    <w:rsid w:val="00313CCC"/>
    <w:rsid w:val="00315ABB"/>
    <w:rsid w:val="00316A1B"/>
    <w:rsid w:val="00320351"/>
    <w:rsid w:val="00320E68"/>
    <w:rsid w:val="00323E39"/>
    <w:rsid w:val="00332141"/>
    <w:rsid w:val="00335B6A"/>
    <w:rsid w:val="0034445F"/>
    <w:rsid w:val="00344B37"/>
    <w:rsid w:val="003454F9"/>
    <w:rsid w:val="003821DA"/>
    <w:rsid w:val="00390698"/>
    <w:rsid w:val="003A12AE"/>
    <w:rsid w:val="003A1462"/>
    <w:rsid w:val="003B168D"/>
    <w:rsid w:val="003C4B16"/>
    <w:rsid w:val="003D3800"/>
    <w:rsid w:val="003E2351"/>
    <w:rsid w:val="003E4149"/>
    <w:rsid w:val="003E7EB3"/>
    <w:rsid w:val="003F4AA3"/>
    <w:rsid w:val="003F681F"/>
    <w:rsid w:val="00400D60"/>
    <w:rsid w:val="0040230E"/>
    <w:rsid w:val="00403CA1"/>
    <w:rsid w:val="0040653E"/>
    <w:rsid w:val="004208CE"/>
    <w:rsid w:val="004248F3"/>
    <w:rsid w:val="00425CE6"/>
    <w:rsid w:val="00437205"/>
    <w:rsid w:val="00440816"/>
    <w:rsid w:val="00441C92"/>
    <w:rsid w:val="00443B00"/>
    <w:rsid w:val="00444428"/>
    <w:rsid w:val="00445E7F"/>
    <w:rsid w:val="00447A2A"/>
    <w:rsid w:val="00447B56"/>
    <w:rsid w:val="00455A30"/>
    <w:rsid w:val="004615EA"/>
    <w:rsid w:val="00465F2E"/>
    <w:rsid w:val="00472E99"/>
    <w:rsid w:val="0047501C"/>
    <w:rsid w:val="0047678D"/>
    <w:rsid w:val="004774A2"/>
    <w:rsid w:val="004A563E"/>
    <w:rsid w:val="004A6A23"/>
    <w:rsid w:val="004E039B"/>
    <w:rsid w:val="004E1440"/>
    <w:rsid w:val="004E26A4"/>
    <w:rsid w:val="004E3901"/>
    <w:rsid w:val="004F5424"/>
    <w:rsid w:val="00503D2A"/>
    <w:rsid w:val="005178A2"/>
    <w:rsid w:val="00517FDD"/>
    <w:rsid w:val="005201F1"/>
    <w:rsid w:val="00536A40"/>
    <w:rsid w:val="00541C98"/>
    <w:rsid w:val="00566FCF"/>
    <w:rsid w:val="00571EB8"/>
    <w:rsid w:val="00583D62"/>
    <w:rsid w:val="005854D8"/>
    <w:rsid w:val="00587DE3"/>
    <w:rsid w:val="005908DD"/>
    <w:rsid w:val="0059181E"/>
    <w:rsid w:val="00592393"/>
    <w:rsid w:val="005924CF"/>
    <w:rsid w:val="00596850"/>
    <w:rsid w:val="005A2296"/>
    <w:rsid w:val="005C1080"/>
    <w:rsid w:val="005E05D9"/>
    <w:rsid w:val="005E0D44"/>
    <w:rsid w:val="005E16FB"/>
    <w:rsid w:val="005E32D7"/>
    <w:rsid w:val="005E34DD"/>
    <w:rsid w:val="00602CF5"/>
    <w:rsid w:val="0060691E"/>
    <w:rsid w:val="00615E39"/>
    <w:rsid w:val="00621E44"/>
    <w:rsid w:val="006220B8"/>
    <w:rsid w:val="006256F6"/>
    <w:rsid w:val="00627747"/>
    <w:rsid w:val="00631D9A"/>
    <w:rsid w:val="00645F4A"/>
    <w:rsid w:val="00646059"/>
    <w:rsid w:val="00650251"/>
    <w:rsid w:val="00654015"/>
    <w:rsid w:val="00660495"/>
    <w:rsid w:val="00661FBD"/>
    <w:rsid w:val="00666EFF"/>
    <w:rsid w:val="00677626"/>
    <w:rsid w:val="006822B6"/>
    <w:rsid w:val="00685B50"/>
    <w:rsid w:val="00691580"/>
    <w:rsid w:val="00696F10"/>
    <w:rsid w:val="00697439"/>
    <w:rsid w:val="006B2C5B"/>
    <w:rsid w:val="006C2097"/>
    <w:rsid w:val="006D65FE"/>
    <w:rsid w:val="006E1964"/>
    <w:rsid w:val="006E3EE7"/>
    <w:rsid w:val="006E6389"/>
    <w:rsid w:val="006F53EF"/>
    <w:rsid w:val="00701F6A"/>
    <w:rsid w:val="00706EC9"/>
    <w:rsid w:val="0071209E"/>
    <w:rsid w:val="00715F27"/>
    <w:rsid w:val="007229DC"/>
    <w:rsid w:val="007234F5"/>
    <w:rsid w:val="007351B8"/>
    <w:rsid w:val="00750727"/>
    <w:rsid w:val="0075393F"/>
    <w:rsid w:val="00766163"/>
    <w:rsid w:val="007717E5"/>
    <w:rsid w:val="007876E0"/>
    <w:rsid w:val="0079008F"/>
    <w:rsid w:val="00790D29"/>
    <w:rsid w:val="00794982"/>
    <w:rsid w:val="00795292"/>
    <w:rsid w:val="007B114E"/>
    <w:rsid w:val="007C3743"/>
    <w:rsid w:val="007D2387"/>
    <w:rsid w:val="007E0146"/>
    <w:rsid w:val="007E3B7E"/>
    <w:rsid w:val="00814875"/>
    <w:rsid w:val="00830F74"/>
    <w:rsid w:val="008312C4"/>
    <w:rsid w:val="00834746"/>
    <w:rsid w:val="00836B6D"/>
    <w:rsid w:val="00842C15"/>
    <w:rsid w:val="008534A7"/>
    <w:rsid w:val="0086210A"/>
    <w:rsid w:val="00867B74"/>
    <w:rsid w:val="0087351C"/>
    <w:rsid w:val="0087404D"/>
    <w:rsid w:val="0087528B"/>
    <w:rsid w:val="00882493"/>
    <w:rsid w:val="00883914"/>
    <w:rsid w:val="00892A7C"/>
    <w:rsid w:val="00892D48"/>
    <w:rsid w:val="00894168"/>
    <w:rsid w:val="008A20A6"/>
    <w:rsid w:val="008B1877"/>
    <w:rsid w:val="008B3C6D"/>
    <w:rsid w:val="008B47DA"/>
    <w:rsid w:val="008D3DFE"/>
    <w:rsid w:val="008E0A2E"/>
    <w:rsid w:val="008E3A68"/>
    <w:rsid w:val="008E5FC5"/>
    <w:rsid w:val="008F022D"/>
    <w:rsid w:val="0091068A"/>
    <w:rsid w:val="00920A41"/>
    <w:rsid w:val="009261D1"/>
    <w:rsid w:val="009337C9"/>
    <w:rsid w:val="0093491D"/>
    <w:rsid w:val="00940D7D"/>
    <w:rsid w:val="00947CF9"/>
    <w:rsid w:val="00954F04"/>
    <w:rsid w:val="009571E4"/>
    <w:rsid w:val="00967EF8"/>
    <w:rsid w:val="00973FD5"/>
    <w:rsid w:val="009777F8"/>
    <w:rsid w:val="009915FE"/>
    <w:rsid w:val="009934DE"/>
    <w:rsid w:val="009A6EA8"/>
    <w:rsid w:val="009B0966"/>
    <w:rsid w:val="009C3F41"/>
    <w:rsid w:val="009D2AD3"/>
    <w:rsid w:val="009D31CF"/>
    <w:rsid w:val="009E2F98"/>
    <w:rsid w:val="009E3D43"/>
    <w:rsid w:val="009F0128"/>
    <w:rsid w:val="00A0233A"/>
    <w:rsid w:val="00A054F4"/>
    <w:rsid w:val="00A11911"/>
    <w:rsid w:val="00A17341"/>
    <w:rsid w:val="00A17BCB"/>
    <w:rsid w:val="00A3183C"/>
    <w:rsid w:val="00A36283"/>
    <w:rsid w:val="00A36DC4"/>
    <w:rsid w:val="00A426AE"/>
    <w:rsid w:val="00A42A08"/>
    <w:rsid w:val="00A64755"/>
    <w:rsid w:val="00A71EE0"/>
    <w:rsid w:val="00A84E1E"/>
    <w:rsid w:val="00A93F1B"/>
    <w:rsid w:val="00A93FA1"/>
    <w:rsid w:val="00A9536E"/>
    <w:rsid w:val="00AB27BD"/>
    <w:rsid w:val="00AB5D31"/>
    <w:rsid w:val="00AC06FB"/>
    <w:rsid w:val="00AC3F57"/>
    <w:rsid w:val="00AC4A84"/>
    <w:rsid w:val="00AD157C"/>
    <w:rsid w:val="00AE043E"/>
    <w:rsid w:val="00B003BF"/>
    <w:rsid w:val="00B010D8"/>
    <w:rsid w:val="00B11C50"/>
    <w:rsid w:val="00B132F6"/>
    <w:rsid w:val="00B44C7A"/>
    <w:rsid w:val="00B53E8C"/>
    <w:rsid w:val="00B80200"/>
    <w:rsid w:val="00B80554"/>
    <w:rsid w:val="00B8178C"/>
    <w:rsid w:val="00B925D1"/>
    <w:rsid w:val="00B94B79"/>
    <w:rsid w:val="00BA14CE"/>
    <w:rsid w:val="00BA23DA"/>
    <w:rsid w:val="00BB0581"/>
    <w:rsid w:val="00BB0A15"/>
    <w:rsid w:val="00BB32F6"/>
    <w:rsid w:val="00BD2304"/>
    <w:rsid w:val="00BE3BFC"/>
    <w:rsid w:val="00BE7DF8"/>
    <w:rsid w:val="00BF2414"/>
    <w:rsid w:val="00BF7D94"/>
    <w:rsid w:val="00C0541B"/>
    <w:rsid w:val="00C06662"/>
    <w:rsid w:val="00C36C92"/>
    <w:rsid w:val="00C423A1"/>
    <w:rsid w:val="00C456BA"/>
    <w:rsid w:val="00C525D7"/>
    <w:rsid w:val="00C52B89"/>
    <w:rsid w:val="00C550F1"/>
    <w:rsid w:val="00C563F0"/>
    <w:rsid w:val="00C672CE"/>
    <w:rsid w:val="00C67485"/>
    <w:rsid w:val="00C7156E"/>
    <w:rsid w:val="00C74378"/>
    <w:rsid w:val="00C8539E"/>
    <w:rsid w:val="00C861B7"/>
    <w:rsid w:val="00C9036E"/>
    <w:rsid w:val="00CA0D33"/>
    <w:rsid w:val="00CA296C"/>
    <w:rsid w:val="00CB1256"/>
    <w:rsid w:val="00CB2506"/>
    <w:rsid w:val="00CB6428"/>
    <w:rsid w:val="00CC218D"/>
    <w:rsid w:val="00CC25F8"/>
    <w:rsid w:val="00CC30C7"/>
    <w:rsid w:val="00CC38EF"/>
    <w:rsid w:val="00CC49A0"/>
    <w:rsid w:val="00CE6560"/>
    <w:rsid w:val="00CF0DDA"/>
    <w:rsid w:val="00D171B9"/>
    <w:rsid w:val="00D21461"/>
    <w:rsid w:val="00D278E3"/>
    <w:rsid w:val="00D3100C"/>
    <w:rsid w:val="00D3422A"/>
    <w:rsid w:val="00D52430"/>
    <w:rsid w:val="00D55D77"/>
    <w:rsid w:val="00D61215"/>
    <w:rsid w:val="00D94713"/>
    <w:rsid w:val="00DA0149"/>
    <w:rsid w:val="00DA144F"/>
    <w:rsid w:val="00DA608D"/>
    <w:rsid w:val="00DB1591"/>
    <w:rsid w:val="00DC0B9E"/>
    <w:rsid w:val="00DC6B2A"/>
    <w:rsid w:val="00DC73A4"/>
    <w:rsid w:val="00DF07F9"/>
    <w:rsid w:val="00E13AA8"/>
    <w:rsid w:val="00E17609"/>
    <w:rsid w:val="00E1796A"/>
    <w:rsid w:val="00E206A0"/>
    <w:rsid w:val="00E4021F"/>
    <w:rsid w:val="00E57EB6"/>
    <w:rsid w:val="00E6183D"/>
    <w:rsid w:val="00E72153"/>
    <w:rsid w:val="00E86090"/>
    <w:rsid w:val="00E97A2A"/>
    <w:rsid w:val="00EA3579"/>
    <w:rsid w:val="00EA45BE"/>
    <w:rsid w:val="00EB0AAF"/>
    <w:rsid w:val="00EB18ED"/>
    <w:rsid w:val="00EB2C53"/>
    <w:rsid w:val="00EB7EF1"/>
    <w:rsid w:val="00EC5DD8"/>
    <w:rsid w:val="00ED0EC2"/>
    <w:rsid w:val="00EE074B"/>
    <w:rsid w:val="00EE5E17"/>
    <w:rsid w:val="00EF1765"/>
    <w:rsid w:val="00EF3D8E"/>
    <w:rsid w:val="00EF78EC"/>
    <w:rsid w:val="00EF7EFF"/>
    <w:rsid w:val="00F14373"/>
    <w:rsid w:val="00F231ED"/>
    <w:rsid w:val="00F24912"/>
    <w:rsid w:val="00F256AC"/>
    <w:rsid w:val="00F47C38"/>
    <w:rsid w:val="00F57005"/>
    <w:rsid w:val="00F60503"/>
    <w:rsid w:val="00F751FF"/>
    <w:rsid w:val="00F77F7A"/>
    <w:rsid w:val="00F83B82"/>
    <w:rsid w:val="00F933A2"/>
    <w:rsid w:val="00F957CC"/>
    <w:rsid w:val="00FA056B"/>
    <w:rsid w:val="00FA1DE5"/>
    <w:rsid w:val="00FB1171"/>
    <w:rsid w:val="00FB4650"/>
    <w:rsid w:val="00FB54A6"/>
    <w:rsid w:val="00FB6DF7"/>
    <w:rsid w:val="00FD1D02"/>
    <w:rsid w:val="00FD2F7F"/>
    <w:rsid w:val="00FD6AD0"/>
    <w:rsid w:val="00FE19E5"/>
    <w:rsid w:val="00FE1B71"/>
    <w:rsid w:val="00FE5945"/>
    <w:rsid w:val="00FF0F8A"/>
    <w:rsid w:val="00FF4478"/>
    <w:rsid w:val="00FF6D86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  <w:style w:type="paragraph" w:customStyle="1" w:styleId="FreeForm">
    <w:name w:val="Free Form"/>
    <w:rsid w:val="00FE19E5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  <w:style w:type="paragraph" w:customStyle="1" w:styleId="FreeForm">
    <w:name w:val="Free Form"/>
    <w:rsid w:val="00FE19E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D6E4-F399-423E-9BFF-22DDE6E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Ben Davis</cp:lastModifiedBy>
  <cp:revision>2</cp:revision>
  <cp:lastPrinted>2010-01-12T23:20:00Z</cp:lastPrinted>
  <dcterms:created xsi:type="dcterms:W3CDTF">2014-04-01T13:26:00Z</dcterms:created>
  <dcterms:modified xsi:type="dcterms:W3CDTF">2014-04-01T13:26:00Z</dcterms:modified>
</cp:coreProperties>
</file>