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425CE6" w:rsidRDefault="0014666D" w:rsidP="00425CE6">
      <w:pPr>
        <w:pStyle w:val="Heading1"/>
      </w:pPr>
      <w:bookmarkStart w:id="0" w:name="_GoBack"/>
      <w:bookmarkEnd w:id="0"/>
      <w:r w:rsidRPr="00B11C50">
        <w:rPr>
          <w:smallCaps/>
          <w:sz w:val="28"/>
          <w:szCs w:val="28"/>
        </w:rPr>
        <w:t>Committee Name:</w:t>
      </w:r>
      <w:r w:rsidR="00425CE6">
        <w:rPr>
          <w:b w:val="0"/>
          <w:bCs w:val="0"/>
          <w:smallCaps/>
          <w:sz w:val="28"/>
          <w:szCs w:val="28"/>
        </w:rPr>
        <w:t xml:space="preserve"> </w:t>
      </w:r>
      <w:r w:rsidR="00425CE6">
        <w:t>Resources, Planning and Institutional Policy Committee</w:t>
      </w:r>
    </w:p>
    <w:p w:rsidR="00E97A2A" w:rsidRDefault="0014666D" w:rsidP="0014666D">
      <w:pPr>
        <w:rPr>
          <w:b/>
          <w:bCs/>
          <w:smallCaps/>
          <w:sz w:val="28"/>
          <w:szCs w:val="28"/>
        </w:rPr>
      </w:pPr>
      <w:proofErr w:type="gramStart"/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631D9A">
        <w:rPr>
          <w:b/>
          <w:bCs/>
          <w:smallCaps/>
          <w:sz w:val="28"/>
          <w:szCs w:val="28"/>
        </w:rPr>
        <w:t xml:space="preserve">:  </w:t>
      </w:r>
      <w:r w:rsidR="00EF1765">
        <w:rPr>
          <w:b/>
          <w:bCs/>
          <w:smallCaps/>
          <w:sz w:val="28"/>
          <w:szCs w:val="28"/>
        </w:rPr>
        <w:t>Nov</w:t>
      </w:r>
      <w:r w:rsidR="00631D9A">
        <w:rPr>
          <w:b/>
          <w:bCs/>
          <w:smallCaps/>
          <w:sz w:val="28"/>
          <w:szCs w:val="28"/>
        </w:rPr>
        <w:t>.</w:t>
      </w:r>
      <w:proofErr w:type="gramEnd"/>
      <w:r w:rsidR="00631D9A">
        <w:rPr>
          <w:b/>
          <w:bCs/>
          <w:smallCaps/>
          <w:sz w:val="28"/>
          <w:szCs w:val="28"/>
        </w:rPr>
        <w:t xml:space="preserve"> </w:t>
      </w:r>
      <w:r w:rsidR="00EF1765">
        <w:rPr>
          <w:b/>
          <w:bCs/>
          <w:smallCaps/>
          <w:sz w:val="28"/>
          <w:szCs w:val="28"/>
        </w:rPr>
        <w:t>15</w:t>
      </w:r>
      <w:r w:rsidR="00E97A2A">
        <w:rPr>
          <w:b/>
          <w:bCs/>
          <w:smallCaps/>
          <w:sz w:val="28"/>
          <w:szCs w:val="28"/>
        </w:rPr>
        <w:t>th, 2013,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425CE6">
        <w:rPr>
          <w:b/>
          <w:bCs/>
          <w:smallCaps/>
          <w:sz w:val="28"/>
          <w:szCs w:val="28"/>
        </w:rPr>
        <w:t xml:space="preserve"> </w:t>
      </w:r>
      <w:r w:rsidR="00631D9A">
        <w:rPr>
          <w:b/>
          <w:bCs/>
          <w:smallCaps/>
          <w:sz w:val="28"/>
          <w:szCs w:val="28"/>
        </w:rPr>
        <w:t>Porter Hall 228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F957CC" w:rsidP="000F4925">
            <w:r>
              <w:t>Ben McM</w:t>
            </w:r>
            <w:r w:rsidR="001D6968">
              <w:t>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1D6968" w:rsidP="000F4925">
            <w:r>
              <w:t>Jan Clark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EF1765" w:rsidP="000F4925">
            <w:pPr>
              <w:rPr>
                <w:sz w:val="36"/>
                <w:szCs w:val="36"/>
              </w:rPr>
            </w:pPr>
            <w:r w:rsidRPr="00EF1765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25CE6" w:rsidP="000F4925">
            <w:r>
              <w:t>Benjamin Davis</w:t>
            </w:r>
          </w:p>
        </w:tc>
        <w:tc>
          <w:tcPr>
            <w:tcW w:w="540" w:type="dxa"/>
            <w:vAlign w:val="center"/>
          </w:tcPr>
          <w:p w:rsidR="00973FD5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Macon Mcginley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Carol Ward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425CE6" w:rsidP="000F4925">
            <w:r>
              <w:t>Maureen Horgan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Doc St. Clair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Pat Wilkins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Doug Oetter</w:t>
            </w:r>
          </w:p>
        </w:tc>
        <w:tc>
          <w:tcPr>
            <w:tcW w:w="540" w:type="dxa"/>
            <w:vAlign w:val="center"/>
          </w:tcPr>
          <w:p w:rsidR="00AC06FB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Shea Groebner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EF1765" w:rsidP="000F4925">
            <w:pPr>
              <w:rPr>
                <w:sz w:val="36"/>
                <w:szCs w:val="36"/>
              </w:rPr>
            </w:pPr>
            <w:r w:rsidRPr="00CE6560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973FD5" w:rsidRPr="000F4925" w:rsidRDefault="001D6968" w:rsidP="000F4925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973FD5" w:rsidRPr="000507F8" w:rsidRDefault="00583D62" w:rsidP="00583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Susan Allen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EF176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1D6968" w:rsidP="000F4925">
            <w:r>
              <w:t>Holly Nix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631D9A" w:rsidP="00CC218D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Guests:  </w:t>
            </w:r>
            <w:r w:rsidR="00CC218D">
              <w:rPr>
                <w:smallCaps/>
              </w:rPr>
              <w:t xml:space="preserve">Veronica Womack, Jennifer Graham, Andy </w:t>
            </w:r>
            <w:proofErr w:type="spellStart"/>
            <w:r w:rsidR="00CC218D">
              <w:rPr>
                <w:smallCaps/>
              </w:rPr>
              <w:t>Lewter</w:t>
            </w:r>
            <w:proofErr w:type="spellEnd"/>
            <w:r w:rsidR="00CC218D">
              <w:rPr>
                <w:smallCaps/>
              </w:rPr>
              <w:t xml:space="preserve">, and </w:t>
            </w:r>
            <w:proofErr w:type="spellStart"/>
            <w:r w:rsidR="00CC218D">
              <w:rPr>
                <w:smallCaps/>
              </w:rPr>
              <w:t>Qiana</w:t>
            </w:r>
            <w:proofErr w:type="spellEnd"/>
            <w:r w:rsidR="00CC218D">
              <w:rPr>
                <w:smallCaps/>
              </w:rPr>
              <w:t xml:space="preserve"> Wilson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788"/>
        <w:gridCol w:w="3304"/>
        <w:gridCol w:w="2816"/>
      </w:tblGrid>
      <w:tr w:rsidR="00973FD5" w:rsidTr="00262110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30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973FD5">
            <w:pPr>
              <w:jc w:val="center"/>
              <w:rPr>
                <w:sz w:val="20"/>
              </w:rPr>
            </w:pPr>
          </w:p>
        </w:tc>
      </w:tr>
      <w:tr w:rsidR="00973FD5" w:rsidTr="00262110">
        <w:trPr>
          <w:trHeight w:val="710"/>
        </w:trPr>
        <w:tc>
          <w:tcPr>
            <w:tcW w:w="3132" w:type="dxa"/>
          </w:tcPr>
          <w:p w:rsidR="005E16FB" w:rsidRPr="00262110" w:rsidRDefault="00973FD5" w:rsidP="00F24912">
            <w:r w:rsidRPr="00262110">
              <w:rPr>
                <w:b/>
                <w:bCs/>
              </w:rPr>
              <w:t>I. Call to order</w:t>
            </w:r>
          </w:p>
        </w:tc>
        <w:tc>
          <w:tcPr>
            <w:tcW w:w="4788" w:type="dxa"/>
          </w:tcPr>
          <w:p w:rsidR="00973FD5" w:rsidRPr="00262110" w:rsidRDefault="00973FD5"/>
        </w:tc>
        <w:tc>
          <w:tcPr>
            <w:tcW w:w="3304" w:type="dxa"/>
          </w:tcPr>
          <w:p w:rsidR="00973FD5" w:rsidRPr="00262110" w:rsidRDefault="00654015">
            <w:r w:rsidRPr="00262110">
              <w:t>Meeting was called to order</w:t>
            </w:r>
            <w:r w:rsidR="008B3C6D" w:rsidRPr="00262110">
              <w:t xml:space="preserve"> at 2:00</w:t>
            </w:r>
            <w:r w:rsidRPr="00262110">
              <w:t>.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 w:rsidTr="00262110">
        <w:trPr>
          <w:trHeight w:val="593"/>
        </w:trPr>
        <w:tc>
          <w:tcPr>
            <w:tcW w:w="3132" w:type="dxa"/>
          </w:tcPr>
          <w:p w:rsidR="005E16FB" w:rsidRPr="00262110" w:rsidRDefault="005E16FB" w:rsidP="00F24912">
            <w:pPr>
              <w:rPr>
                <w:b/>
                <w:bCs/>
              </w:rPr>
            </w:pPr>
            <w:r w:rsidRPr="00262110">
              <w:rPr>
                <w:b/>
                <w:bCs/>
              </w:rPr>
              <w:t>II.  Approval of Agenda</w:t>
            </w:r>
          </w:p>
        </w:tc>
        <w:tc>
          <w:tcPr>
            <w:tcW w:w="4788" w:type="dxa"/>
          </w:tcPr>
          <w:p w:rsidR="005E16FB" w:rsidRPr="00262110" w:rsidRDefault="005E16FB"/>
        </w:tc>
        <w:tc>
          <w:tcPr>
            <w:tcW w:w="3304" w:type="dxa"/>
          </w:tcPr>
          <w:p w:rsidR="005E16FB" w:rsidRPr="00262110" w:rsidRDefault="005E16FB" w:rsidP="00C550F1"/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 w:rsidTr="00262110">
        <w:trPr>
          <w:trHeight w:val="593"/>
        </w:trPr>
        <w:tc>
          <w:tcPr>
            <w:tcW w:w="3132" w:type="dxa"/>
          </w:tcPr>
          <w:p w:rsidR="00973FD5" w:rsidRPr="002C52B3" w:rsidRDefault="005E16FB">
            <w:pPr>
              <w:rPr>
                <w:b/>
                <w:bCs/>
              </w:rPr>
            </w:pPr>
            <w:r w:rsidRPr="002C52B3">
              <w:rPr>
                <w:b/>
                <w:bCs/>
              </w:rPr>
              <w:t>I</w:t>
            </w:r>
            <w:r w:rsidR="00973FD5" w:rsidRPr="002C52B3">
              <w:rPr>
                <w:b/>
                <w:bCs/>
              </w:rPr>
              <w:t>II. Approval of Minutes</w:t>
            </w:r>
          </w:p>
        </w:tc>
        <w:tc>
          <w:tcPr>
            <w:tcW w:w="4788" w:type="dxa"/>
          </w:tcPr>
          <w:p w:rsidR="00973FD5" w:rsidRPr="002C52B3" w:rsidRDefault="009261D1" w:rsidP="002C52B3">
            <w:pPr>
              <w:pStyle w:val="ListParagraph"/>
              <w:numPr>
                <w:ilvl w:val="0"/>
                <w:numId w:val="30"/>
              </w:numPr>
            </w:pPr>
            <w:r w:rsidRPr="002C52B3">
              <w:t>Minutes had been approved previously by electronic vote.</w:t>
            </w:r>
          </w:p>
        </w:tc>
        <w:tc>
          <w:tcPr>
            <w:tcW w:w="3304" w:type="dxa"/>
          </w:tcPr>
          <w:p w:rsidR="008B3C6D" w:rsidRPr="00262110" w:rsidRDefault="008B3C6D" w:rsidP="008B3C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9B" w:rsidRPr="00262110" w:rsidRDefault="004E039B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BA23DA" w:rsidTr="00262110">
        <w:trPr>
          <w:trHeight w:val="593"/>
        </w:trPr>
        <w:tc>
          <w:tcPr>
            <w:tcW w:w="3132" w:type="dxa"/>
          </w:tcPr>
          <w:p w:rsidR="00BA23DA" w:rsidRPr="002C52B3" w:rsidRDefault="00BA23DA" w:rsidP="00BA23DA">
            <w:pPr>
              <w:rPr>
                <w:b/>
                <w:bCs/>
              </w:rPr>
            </w:pPr>
            <w:r w:rsidRPr="002C52B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52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Information Items</w:t>
            </w:r>
          </w:p>
        </w:tc>
        <w:tc>
          <w:tcPr>
            <w:tcW w:w="4788" w:type="dxa"/>
          </w:tcPr>
          <w:p w:rsidR="00BA23DA" w:rsidRPr="002C52B3" w:rsidRDefault="00BA23DA" w:rsidP="002C52B3">
            <w:pPr>
              <w:pStyle w:val="ListParagraph"/>
              <w:numPr>
                <w:ilvl w:val="0"/>
                <w:numId w:val="30"/>
              </w:numPr>
            </w:pPr>
            <w:r>
              <w:t>None</w:t>
            </w:r>
          </w:p>
        </w:tc>
        <w:tc>
          <w:tcPr>
            <w:tcW w:w="3304" w:type="dxa"/>
          </w:tcPr>
          <w:p w:rsidR="00BA23DA" w:rsidRPr="00262110" w:rsidRDefault="00BA23DA" w:rsidP="008B3C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23DA" w:rsidRDefault="00BA23DA">
            <w:pPr>
              <w:rPr>
                <w:sz w:val="20"/>
              </w:rPr>
            </w:pPr>
          </w:p>
        </w:tc>
      </w:tr>
      <w:tr w:rsidR="00973FD5" w:rsidTr="00262110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Pr="00262110" w:rsidRDefault="005E16FB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 w:rsidR="00973FD5" w:rsidRPr="00262110">
              <w:rPr>
                <w:b/>
                <w:bCs/>
              </w:rPr>
              <w:t>. Old Business/Review of</w:t>
            </w:r>
          </w:p>
          <w:p w:rsidR="00973FD5" w:rsidRPr="00262110" w:rsidRDefault="00973FD5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Actions/Recommendations</w:t>
            </w:r>
          </w:p>
          <w:p w:rsidR="00EB2C53" w:rsidRDefault="00EB2C53" w:rsidP="00EB2C53">
            <w:pPr>
              <w:pStyle w:val="ListParagraph"/>
            </w:pPr>
          </w:p>
          <w:p w:rsidR="00EB2C53" w:rsidRDefault="00EB2C53" w:rsidP="00EB2C53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Diversity Document, guest Veronica Womack</w:t>
            </w:r>
          </w:p>
          <w:p w:rsidR="005E16FB" w:rsidRPr="00262110" w:rsidRDefault="005E16FB" w:rsidP="0079008F">
            <w:pPr>
              <w:tabs>
                <w:tab w:val="left" w:pos="0"/>
              </w:tabs>
            </w:pPr>
          </w:p>
        </w:tc>
        <w:tc>
          <w:tcPr>
            <w:tcW w:w="4788" w:type="dxa"/>
          </w:tcPr>
          <w:p w:rsidR="00EB2C53" w:rsidRDefault="00EB2C53" w:rsidP="00EB2C53">
            <w:pPr>
              <w:pStyle w:val="ListParagraph"/>
            </w:pPr>
          </w:p>
          <w:p w:rsidR="00EB2C53" w:rsidRDefault="00EB2C53" w:rsidP="00EB2C53">
            <w:pPr>
              <w:pStyle w:val="ListParagraph"/>
            </w:pPr>
          </w:p>
          <w:p w:rsidR="00EB2C53" w:rsidRDefault="00EB2C53" w:rsidP="00EB2C53">
            <w:pPr>
              <w:pStyle w:val="ListParagraph"/>
            </w:pPr>
          </w:p>
          <w:p w:rsidR="00CC25F8" w:rsidRDefault="00CC25F8" w:rsidP="00CC25F8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The number of faculty members on the committee has been increased</w:t>
            </w:r>
          </w:p>
          <w:p w:rsidR="00CC25F8" w:rsidRDefault="00CC25F8" w:rsidP="00CC25F8">
            <w:pPr>
              <w:pStyle w:val="ListParagraph"/>
              <w:numPr>
                <w:ilvl w:val="0"/>
                <w:numId w:val="30"/>
              </w:numPr>
            </w:pPr>
            <w:r>
              <w:t>Now working on developing strategic goals and strategies</w:t>
            </w:r>
          </w:p>
          <w:p w:rsidR="00CC25F8" w:rsidRDefault="00CC25F8" w:rsidP="00CC25F8">
            <w:pPr>
              <w:pStyle w:val="ListParagraph"/>
              <w:numPr>
                <w:ilvl w:val="0"/>
                <w:numId w:val="30"/>
              </w:numPr>
            </w:pPr>
            <w:r>
              <w:t>Here to give RPIPC an update and look at definitions</w:t>
            </w:r>
          </w:p>
          <w:p w:rsidR="00CC25F8" w:rsidRDefault="00CC25F8" w:rsidP="00CC25F8">
            <w:pPr>
              <w:pStyle w:val="ListParagraph"/>
              <w:numPr>
                <w:ilvl w:val="0"/>
                <w:numId w:val="30"/>
              </w:numPr>
            </w:pPr>
            <w:r>
              <w:t>The three definitions to look at are:</w:t>
            </w:r>
          </w:p>
          <w:p w:rsidR="00CC25F8" w:rsidRDefault="00CC25F8" w:rsidP="00CC25F8">
            <w:pPr>
              <w:pStyle w:val="ListParagraph"/>
            </w:pPr>
            <w:r>
              <w:t>Diversity, inclusive excellence, and under</w:t>
            </w:r>
            <w:r w:rsidR="00EB0AAF">
              <w:t>represented</w:t>
            </w:r>
            <w:r w:rsidR="008534A7">
              <w:t xml:space="preserve"> </w:t>
            </w:r>
            <w:r w:rsidR="008534A7" w:rsidRPr="00DC6B2A">
              <w:t>minorities</w:t>
            </w:r>
          </w:p>
          <w:p w:rsidR="00EE5E17" w:rsidRDefault="00EE5E17" w:rsidP="00EE5E17">
            <w:pPr>
              <w:pStyle w:val="ListParagraph"/>
              <w:numPr>
                <w:ilvl w:val="0"/>
                <w:numId w:val="30"/>
              </w:numPr>
            </w:pPr>
            <w:r>
              <w:t>It was suggested to add multi-racial and bi-racial to the underrepresented definition</w:t>
            </w:r>
          </w:p>
          <w:p w:rsidR="00EE5E17" w:rsidRDefault="00645F4A" w:rsidP="00EE5E17">
            <w:pPr>
              <w:pStyle w:val="ListParagraph"/>
              <w:numPr>
                <w:ilvl w:val="0"/>
                <w:numId w:val="30"/>
              </w:numPr>
            </w:pPr>
            <w:r>
              <w:t xml:space="preserve">The suggestion was made to eliminate the term “socioeconomic status” from the underrepresented definition and add the sentence “targets a broad diversity of socioeconomic status and diversity” at the end of the </w:t>
            </w:r>
            <w:r w:rsidR="00EB0AAF">
              <w:t xml:space="preserve">underrepresented </w:t>
            </w:r>
            <w:r w:rsidR="008534A7">
              <w:t>paragraph</w:t>
            </w:r>
          </w:p>
          <w:p w:rsidR="00666EFF" w:rsidRDefault="00666EFF" w:rsidP="00EE5E17">
            <w:pPr>
              <w:pStyle w:val="ListParagraph"/>
              <w:numPr>
                <w:ilvl w:val="0"/>
                <w:numId w:val="30"/>
              </w:numPr>
            </w:pPr>
            <w:r>
              <w:t>The different goals and subgroups within the document are directly linked to the mission statement, QEP, and institutional priorities</w:t>
            </w:r>
          </w:p>
          <w:p w:rsidR="00666EFF" w:rsidRDefault="00B94B79" w:rsidP="00EE5E17">
            <w:pPr>
              <w:pStyle w:val="ListParagraph"/>
              <w:numPr>
                <w:ilvl w:val="0"/>
                <w:numId w:val="30"/>
              </w:numPr>
            </w:pPr>
            <w:r>
              <w:t>Will procedures come from this plan?</w:t>
            </w:r>
          </w:p>
          <w:p w:rsidR="00B94B79" w:rsidRDefault="00B94B79" w:rsidP="00B94B79">
            <w:pPr>
              <w:pStyle w:val="ListParagraph"/>
            </w:pPr>
            <w:r>
              <w:t>There will be five strategies developed per area in the plan.  For example, Goal 1, Student Divers</w:t>
            </w:r>
            <w:r w:rsidR="008534A7">
              <w:t>ity, will have five strategies</w:t>
            </w:r>
            <w:r>
              <w:t xml:space="preserve"> </w:t>
            </w:r>
          </w:p>
          <w:p w:rsidR="007E3B7E" w:rsidRDefault="007E3B7E" w:rsidP="007E3B7E">
            <w:pPr>
              <w:pStyle w:val="ListParagraph"/>
              <w:numPr>
                <w:ilvl w:val="0"/>
                <w:numId w:val="30"/>
              </w:numPr>
            </w:pPr>
            <w:r>
              <w:t>OIED will not be th</w:t>
            </w:r>
            <w:r w:rsidR="001757C4">
              <w:t>e only office reaching out using these strategies.  O</w:t>
            </w:r>
            <w:r>
              <w:t>ther offices will be implementing the strategies too</w:t>
            </w:r>
          </w:p>
          <w:p w:rsidR="007E3B7E" w:rsidRDefault="0075393F" w:rsidP="007E3B7E">
            <w:pPr>
              <w:pStyle w:val="ListParagraph"/>
              <w:numPr>
                <w:ilvl w:val="0"/>
                <w:numId w:val="30"/>
              </w:numPr>
            </w:pPr>
            <w:r>
              <w:t>This document is an action plan.  Not a dissertation that cannot be implemented</w:t>
            </w:r>
          </w:p>
          <w:p w:rsidR="0075393F" w:rsidRDefault="0075393F" w:rsidP="007E3B7E">
            <w:pPr>
              <w:pStyle w:val="ListParagraph"/>
              <w:numPr>
                <w:ilvl w:val="0"/>
                <w:numId w:val="30"/>
              </w:numPr>
            </w:pPr>
            <w:r>
              <w:t>Will there be assessment tools?  Yes.  The current document is not the plan.  The final plan will include who i</w:t>
            </w:r>
            <w:r w:rsidR="008534A7">
              <w:t>s responsible and how to assess</w:t>
            </w:r>
          </w:p>
          <w:p w:rsidR="0075393F" w:rsidRDefault="0075393F" w:rsidP="007E3B7E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The plan cannot be one dimensional.  Need feedback from the community before finalizing the plan</w:t>
            </w:r>
          </w:p>
          <w:p w:rsidR="0075393F" w:rsidRDefault="0075393F" w:rsidP="007E3B7E">
            <w:pPr>
              <w:pStyle w:val="ListParagraph"/>
              <w:numPr>
                <w:ilvl w:val="0"/>
                <w:numId w:val="30"/>
              </w:numPr>
            </w:pPr>
            <w:r>
              <w:t>There should be a forum on Dec. 5 to discuss the plan and get more community feedback</w:t>
            </w:r>
          </w:p>
          <w:p w:rsidR="00CC25F8" w:rsidRPr="00262110" w:rsidRDefault="00CC25F8" w:rsidP="00CC25F8">
            <w:pPr>
              <w:pStyle w:val="ListParagraph"/>
            </w:pPr>
          </w:p>
        </w:tc>
        <w:tc>
          <w:tcPr>
            <w:tcW w:w="3304" w:type="dxa"/>
          </w:tcPr>
          <w:p w:rsidR="00973FD5" w:rsidRPr="00262110" w:rsidRDefault="00973FD5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262110" w:rsidRDefault="0071209E" w:rsidP="00CB6428">
            <w:pPr>
              <w:rPr>
                <w:b/>
                <w:bCs/>
              </w:rPr>
            </w:pPr>
            <w:r>
              <w:lastRenderedPageBreak/>
              <w:t>2</w:t>
            </w:r>
            <w:r w:rsidR="00C550F1" w:rsidRPr="00262110">
              <w:t xml:space="preserve">. </w:t>
            </w:r>
            <w:r w:rsidR="00CB6428">
              <w:t>Sexual Harassment Policy</w:t>
            </w:r>
            <w:r w:rsidR="00ED0EC2">
              <w:t xml:space="preserve">, guests Jennifer Graham, Andy </w:t>
            </w:r>
            <w:proofErr w:type="spellStart"/>
            <w:r w:rsidR="00ED0EC2">
              <w:t>Lewter</w:t>
            </w:r>
            <w:proofErr w:type="spellEnd"/>
            <w:r w:rsidR="00ED0EC2">
              <w:t xml:space="preserve">, and </w:t>
            </w:r>
            <w:proofErr w:type="spellStart"/>
            <w:r w:rsidR="00ED0EC2">
              <w:t>Qiana</w:t>
            </w:r>
            <w:proofErr w:type="spellEnd"/>
            <w:r w:rsidR="00ED0EC2">
              <w:t xml:space="preserve"> Wilson</w:t>
            </w:r>
          </w:p>
        </w:tc>
        <w:tc>
          <w:tcPr>
            <w:tcW w:w="4788" w:type="dxa"/>
          </w:tcPr>
          <w:p w:rsidR="00ED0EC2" w:rsidRDefault="00ED0EC2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There currently is a </w:t>
            </w:r>
            <w:r w:rsidRPr="00DC6B2A">
              <w:t>policy, but it is geared more towards employees</w:t>
            </w:r>
            <w:r w:rsidR="008534A7" w:rsidRPr="00DC6B2A">
              <w:t xml:space="preserve">, does not include </w:t>
            </w:r>
            <w:r w:rsidRPr="00DC6B2A">
              <w:t>students</w:t>
            </w:r>
            <w:r w:rsidR="008534A7" w:rsidRPr="00DC6B2A">
              <w:t>, this new document covers everyone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policy needs to be in compliance with </w:t>
            </w:r>
            <w:r w:rsidRPr="00CE6560">
              <w:t>the Campus Safety Act and Title 9</w:t>
            </w:r>
            <w:r w:rsidR="008534A7" w:rsidRPr="00CE6560">
              <w:t>, t</w:t>
            </w:r>
            <w:r w:rsidRPr="00CE6560">
              <w:t>he</w:t>
            </w:r>
            <w:r w:rsidR="008534A7" w:rsidRPr="00CE6560">
              <w:t>se</w:t>
            </w:r>
            <w:r w:rsidRPr="00CE6560">
              <w:t xml:space="preserve"> pieces of legislation have been used a guide to create th</w:t>
            </w:r>
            <w:r w:rsidR="008534A7" w:rsidRPr="00CE6560">
              <w:t>is</w:t>
            </w:r>
            <w:r w:rsidRPr="00CE6560">
              <w:t xml:space="preserve"> </w:t>
            </w:r>
            <w:r>
              <w:t>policy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State colleges must have a policy related to sexual assaults of students, faculty, and staff</w:t>
            </w:r>
            <w:r w:rsidR="008534A7">
              <w:t>, t</w:t>
            </w:r>
            <w:r>
              <w:t>his one policy will cover students, faculty, and staff, in addition to third parties on campus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This is a more holistic policy than before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There are many new definitions</w:t>
            </w:r>
            <w:r w:rsidR="008534A7" w:rsidRPr="00DC6B2A">
              <w:t>, which</w:t>
            </w:r>
            <w:r w:rsidRPr="00DC6B2A">
              <w:t xml:space="preserve"> were taken from the best practices of </w:t>
            </w:r>
            <w:r>
              <w:t>other institutions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Who will be the Title 9 coordinator?  Jennifer and Veronica are currently deputy coordinators</w:t>
            </w:r>
            <w:r w:rsidR="008534A7">
              <w:t>, the</w:t>
            </w:r>
            <w:r>
              <w:t xml:space="preserve"> coordinator is still to be determined</w:t>
            </w:r>
          </w:p>
          <w:p w:rsidR="00517FDD" w:rsidRDefault="00517FDD" w:rsidP="008534A7">
            <w:pPr>
              <w:pStyle w:val="ListParagraph"/>
              <w:numPr>
                <w:ilvl w:val="0"/>
                <w:numId w:val="21"/>
              </w:numPr>
            </w:pPr>
            <w:r>
              <w:t>The coordinator will be a position, not a specific name</w:t>
            </w:r>
            <w:r w:rsidR="008534A7">
              <w:t>, d</w:t>
            </w:r>
            <w:r>
              <w:t>ifferent people</w:t>
            </w:r>
            <w:r w:rsidRPr="00CE6560">
              <w:t xml:space="preserve"> </w:t>
            </w:r>
            <w:r w:rsidR="008534A7" w:rsidRPr="00CE6560">
              <w:t>will</w:t>
            </w:r>
            <w:r w:rsidRPr="00CE6560">
              <w:t xml:space="preserve"> </w:t>
            </w:r>
            <w:r>
              <w:t>fill the position over time</w:t>
            </w:r>
          </w:p>
          <w:p w:rsidR="000215C8" w:rsidRDefault="000215C8" w:rsidP="008534A7">
            <w:pPr>
              <w:pStyle w:val="ListParagraph"/>
              <w:numPr>
                <w:ilvl w:val="0"/>
                <w:numId w:val="21"/>
              </w:numPr>
            </w:pPr>
            <w:r>
              <w:t>Can victims call women’s center?  Yes.  Men can also call.</w:t>
            </w:r>
          </w:p>
          <w:p w:rsidR="00517FDD" w:rsidRDefault="000215C8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new policy will address </w:t>
            </w:r>
            <w:r w:rsidRPr="00DC6B2A">
              <w:t>issues</w:t>
            </w:r>
            <w:r w:rsidR="008534A7" w:rsidRPr="00DC6B2A">
              <w:t xml:space="preserve"> that existed</w:t>
            </w:r>
            <w:r w:rsidRPr="00DC6B2A">
              <w:t xml:space="preserve"> in</w:t>
            </w:r>
            <w:r w:rsidR="008534A7" w:rsidRPr="00DC6B2A">
              <w:t xml:space="preserve"> the</w:t>
            </w:r>
            <w:r w:rsidRPr="00DC6B2A">
              <w:t xml:space="preserve"> old policy</w:t>
            </w:r>
            <w:r w:rsidR="008534A7" w:rsidRPr="00DC6B2A">
              <w:t>, and will replace the</w:t>
            </w:r>
            <w:r w:rsidRPr="00DC6B2A">
              <w:t xml:space="preserve"> old policy</w:t>
            </w:r>
            <w:r w:rsidR="008534A7" w:rsidRPr="00DC6B2A">
              <w:t xml:space="preserve">.  </w:t>
            </w:r>
            <w:r w:rsidRPr="00DC6B2A">
              <w:t xml:space="preserve">Once it is eliminated, it is important to remove </w:t>
            </w:r>
            <w:r>
              <w:t xml:space="preserve">all </w:t>
            </w:r>
            <w:r>
              <w:lastRenderedPageBreak/>
              <w:t xml:space="preserve">occurrences of it online.  </w:t>
            </w:r>
          </w:p>
          <w:p w:rsidR="000215C8" w:rsidRDefault="000215C8" w:rsidP="00B003BF">
            <w:pPr>
              <w:pStyle w:val="ListParagraph"/>
              <w:numPr>
                <w:ilvl w:val="0"/>
                <w:numId w:val="21"/>
              </w:numPr>
            </w:pPr>
            <w:r>
              <w:t xml:space="preserve">How to </w:t>
            </w:r>
            <w:r w:rsidRPr="00DC6B2A">
              <w:t xml:space="preserve">assess?  Is there a mechanism to assess </w:t>
            </w:r>
            <w:r w:rsidR="008534A7" w:rsidRPr="00DC6B2A">
              <w:t xml:space="preserve">the effectiveness of the policy </w:t>
            </w:r>
            <w:r w:rsidRPr="00DC6B2A">
              <w:t>outside of an actual assault</w:t>
            </w:r>
            <w:r>
              <w:t>?</w:t>
            </w:r>
            <w:r w:rsidR="00B003BF">
              <w:t xml:space="preserve">  </w:t>
            </w:r>
            <w:r>
              <w:t xml:space="preserve">While developing new policy, those involved thought through previous and ongoing instances and looked at how the new policy applies to them.  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Guidelines can be adjusted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The different outlined procedures gives the ability to take appropriate actions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When the accused is a student, the procedures are separate from those for faculty or staff</w:t>
            </w:r>
          </w:p>
          <w:p w:rsidR="00041C23" w:rsidRDefault="00041C23" w:rsidP="008534A7">
            <w:pPr>
              <w:pStyle w:val="ListParagraph"/>
              <w:numPr>
                <w:ilvl w:val="0"/>
                <w:numId w:val="21"/>
              </w:numPr>
            </w:pPr>
            <w:r>
              <w:t>For a student, the Code of Conduct can be cited. BOR policy can be used for faculty and staff</w:t>
            </w:r>
          </w:p>
          <w:p w:rsidR="00041C23" w:rsidRDefault="00C67485" w:rsidP="008534A7">
            <w:pPr>
              <w:pStyle w:val="ListParagraph"/>
              <w:numPr>
                <w:ilvl w:val="0"/>
                <w:numId w:val="21"/>
              </w:numPr>
            </w:pPr>
            <w:r>
              <w:t>The policy often refers to federal guidelines, instead of getting very specific</w:t>
            </w:r>
          </w:p>
          <w:p w:rsidR="00C67485" w:rsidRDefault="00C67485" w:rsidP="008534A7">
            <w:pPr>
              <w:pStyle w:val="ListParagraph"/>
              <w:numPr>
                <w:ilvl w:val="0"/>
                <w:numId w:val="21"/>
              </w:numPr>
            </w:pPr>
            <w:r>
              <w:t xml:space="preserve">The policy language </w:t>
            </w:r>
            <w:r w:rsidR="00920A41">
              <w:t>is compliant with federal standards</w:t>
            </w:r>
          </w:p>
          <w:p w:rsidR="00C67485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 definitions used have gone through many courts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 definitions for quid pro quo and hostile work environment are in the body of the “sexual harassment” section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24.7% of women on campus have been a victim of an attempted or completed sexual assault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95% of assaults on campuses nationwide do not get reported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This policy also covers supervisor – employee situations</w:t>
            </w:r>
          </w:p>
          <w:p w:rsidR="00920A41" w:rsidRDefault="00920A41" w:rsidP="008534A7">
            <w:pPr>
              <w:pStyle w:val="ListParagraph"/>
              <w:numPr>
                <w:ilvl w:val="0"/>
                <w:numId w:val="21"/>
              </w:numPr>
            </w:pPr>
            <w:r>
              <w:t>There is a general harassment policy that covers non-sexual supervisor – employee situations</w:t>
            </w:r>
          </w:p>
          <w:p w:rsidR="00920A41" w:rsidRPr="00262110" w:rsidRDefault="00920A41" w:rsidP="00920A41">
            <w:pPr>
              <w:pStyle w:val="ListParagraph"/>
              <w:jc w:val="both"/>
            </w:pPr>
          </w:p>
        </w:tc>
        <w:tc>
          <w:tcPr>
            <w:tcW w:w="3304" w:type="dxa"/>
          </w:tcPr>
          <w:p w:rsidR="003F4AA3" w:rsidRPr="00262110" w:rsidRDefault="008534A7" w:rsidP="008534A7">
            <w:pPr>
              <w:pStyle w:val="ListParagraph"/>
              <w:numPr>
                <w:ilvl w:val="0"/>
                <w:numId w:val="21"/>
              </w:numPr>
            </w:pPr>
            <w:r w:rsidRPr="00DC6B2A">
              <w:lastRenderedPageBreak/>
              <w:t>Maureen will work with Jennifer on format, making it consistent with current University Senate format.  The final document will be presented at the</w:t>
            </w:r>
            <w:r w:rsidR="00920A41" w:rsidRPr="00DC6B2A">
              <w:t xml:space="preserve"> January meeting for a vote</w:t>
            </w:r>
          </w:p>
        </w:tc>
        <w:tc>
          <w:tcPr>
            <w:tcW w:w="2816" w:type="dxa"/>
          </w:tcPr>
          <w:p w:rsidR="00B53E8C" w:rsidRPr="00C423A1" w:rsidRDefault="00B53E8C" w:rsidP="00920A41">
            <w:pPr>
              <w:pStyle w:val="ListParagraph"/>
            </w:pPr>
          </w:p>
        </w:tc>
      </w:tr>
      <w:tr w:rsidR="006220B8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6220B8" w:rsidRPr="00262110" w:rsidRDefault="0071209E" w:rsidP="0071209E">
            <w:pPr>
              <w:rPr>
                <w:b/>
                <w:bCs/>
              </w:rPr>
            </w:pPr>
            <w:r>
              <w:lastRenderedPageBreak/>
              <w:t>3</w:t>
            </w:r>
            <w:r w:rsidR="00C74378" w:rsidRPr="00262110">
              <w:t xml:space="preserve">. </w:t>
            </w:r>
            <w:r>
              <w:t>Smoking Policy Enforcement re-visit, Doug Oetter</w:t>
            </w:r>
          </w:p>
        </w:tc>
        <w:tc>
          <w:tcPr>
            <w:tcW w:w="4788" w:type="dxa"/>
          </w:tcPr>
          <w:p w:rsidR="002D5FA3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Doug suggested RPIPC look at enforcement of the smoking policy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In the past, RPIPC suggested to Senate that the Provost should be the implementer of the policy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Since there is a new provost, who is the implementer now?</w:t>
            </w:r>
          </w:p>
          <w:p w:rsidR="0060691E" w:rsidRPr="00DC6B2A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 xml:space="preserve">The policy is not </w:t>
            </w:r>
            <w:r w:rsidRPr="00DC6B2A">
              <w:t>enforceable. The key is communication</w:t>
            </w:r>
            <w:r w:rsidR="00B003BF" w:rsidRPr="00DC6B2A">
              <w:t xml:space="preserve"> and education</w:t>
            </w:r>
          </w:p>
          <w:p w:rsidR="0060691E" w:rsidRPr="00DC6B2A" w:rsidRDefault="0060691E" w:rsidP="00B003BF">
            <w:pPr>
              <w:pStyle w:val="ListParagraph"/>
              <w:numPr>
                <w:ilvl w:val="0"/>
                <w:numId w:val="22"/>
              </w:numPr>
            </w:pPr>
            <w:r w:rsidRPr="00DC6B2A">
              <w:t>Health education was working with SGA on a campaign</w:t>
            </w:r>
            <w:r w:rsidR="00B003BF" w:rsidRPr="00DC6B2A">
              <w:t>, they were invited but not able to attend this meeting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“No Smoking” signs were made and distributed across campus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Most of the signs have been stolen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SGA paid for the signs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Who will pay for more signs?</w:t>
            </w:r>
          </w:p>
          <w:p w:rsidR="0060691E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Who is responsible?</w:t>
            </w:r>
          </w:p>
          <w:p w:rsidR="0060691E" w:rsidRPr="00262110" w:rsidRDefault="0060691E" w:rsidP="00B003BF">
            <w:pPr>
              <w:pStyle w:val="ListParagraph"/>
              <w:numPr>
                <w:ilvl w:val="0"/>
                <w:numId w:val="22"/>
              </w:numPr>
            </w:pPr>
            <w:r>
              <w:t>RPIPC recommended that HR and Student services share responsibility for implementation</w:t>
            </w:r>
          </w:p>
        </w:tc>
        <w:tc>
          <w:tcPr>
            <w:tcW w:w="3304" w:type="dxa"/>
          </w:tcPr>
          <w:p w:rsidR="006220B8" w:rsidRPr="00262110" w:rsidRDefault="0060691E" w:rsidP="004E26A4">
            <w:pPr>
              <w:pStyle w:val="ListParagraph"/>
              <w:numPr>
                <w:ilvl w:val="0"/>
                <w:numId w:val="22"/>
              </w:numPr>
            </w:pPr>
            <w:r>
              <w:t>Doug and Macon will work with HR and Dean of Students to begin a dialogue about implementation</w:t>
            </w:r>
          </w:p>
        </w:tc>
        <w:tc>
          <w:tcPr>
            <w:tcW w:w="2816" w:type="dxa"/>
          </w:tcPr>
          <w:p w:rsidR="006220B8" w:rsidRPr="00A84E1E" w:rsidRDefault="006220B8" w:rsidP="009B0966">
            <w:pPr>
              <w:rPr>
                <w:strike/>
              </w:rPr>
            </w:pPr>
          </w:p>
        </w:tc>
      </w:tr>
      <w:tr w:rsidR="003F4AA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262110" w:rsidRDefault="003F4AA3" w:rsidP="00F957CC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9E3D43" w:rsidRPr="00262110" w:rsidRDefault="009E3D43" w:rsidP="001718AB">
            <w:pPr>
              <w:pStyle w:val="ListParagraph"/>
              <w:ind w:left="1440"/>
            </w:pPr>
          </w:p>
        </w:tc>
        <w:tc>
          <w:tcPr>
            <w:tcW w:w="3304" w:type="dxa"/>
          </w:tcPr>
          <w:p w:rsidR="009E3D43" w:rsidRPr="00262110" w:rsidRDefault="009E3D43" w:rsidP="009E3D43"/>
        </w:tc>
        <w:tc>
          <w:tcPr>
            <w:tcW w:w="2816" w:type="dxa"/>
          </w:tcPr>
          <w:p w:rsidR="004E3901" w:rsidRPr="00C423A1" w:rsidRDefault="004E3901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0B0566" w:rsidP="00CA0D33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7E0146">
              <w:rPr>
                <w:b/>
                <w:bCs/>
              </w:rPr>
              <w:t>. New Business</w:t>
            </w:r>
          </w:p>
        </w:tc>
        <w:tc>
          <w:tcPr>
            <w:tcW w:w="4788" w:type="dxa"/>
          </w:tcPr>
          <w:p w:rsidR="00CA0D33" w:rsidRPr="00262110" w:rsidRDefault="00CA0D33" w:rsidP="00697439"/>
        </w:tc>
        <w:tc>
          <w:tcPr>
            <w:tcW w:w="3304" w:type="dxa"/>
          </w:tcPr>
          <w:p w:rsidR="00CA0D33" w:rsidRPr="00262110" w:rsidRDefault="00CA0D33" w:rsidP="009E3D43"/>
        </w:tc>
        <w:tc>
          <w:tcPr>
            <w:tcW w:w="2816" w:type="dxa"/>
          </w:tcPr>
          <w:p w:rsidR="00CA0D33" w:rsidRPr="00C423A1" w:rsidRDefault="00CA0D33" w:rsidP="009B0966"/>
        </w:tc>
      </w:tr>
      <w:tr w:rsidR="007E0146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7E0146" w:rsidRPr="007E0146" w:rsidRDefault="007E0146" w:rsidP="00CA0D33">
            <w:pPr>
              <w:rPr>
                <w:bCs/>
              </w:rPr>
            </w:pPr>
            <w:r w:rsidRPr="007E0146">
              <w:rPr>
                <w:bCs/>
              </w:rPr>
              <w:t>Parking, Macon McGinl</w:t>
            </w:r>
            <w:r>
              <w:rPr>
                <w:bCs/>
              </w:rPr>
              <w:t>e</w:t>
            </w:r>
            <w:r w:rsidRPr="007E0146">
              <w:rPr>
                <w:bCs/>
              </w:rPr>
              <w:t>y</w:t>
            </w:r>
          </w:p>
        </w:tc>
        <w:tc>
          <w:tcPr>
            <w:tcW w:w="4788" w:type="dxa"/>
          </w:tcPr>
          <w:p w:rsidR="007E0146" w:rsidRPr="00262110" w:rsidRDefault="00DB1591" w:rsidP="007E0146">
            <w:pPr>
              <w:pStyle w:val="ListParagraph"/>
              <w:numPr>
                <w:ilvl w:val="0"/>
                <w:numId w:val="34"/>
              </w:numPr>
            </w:pPr>
            <w:r>
              <w:t>Postponed</w:t>
            </w:r>
            <w:r w:rsidR="007E0146">
              <w:t xml:space="preserve"> until next meeting</w:t>
            </w:r>
          </w:p>
        </w:tc>
        <w:tc>
          <w:tcPr>
            <w:tcW w:w="3304" w:type="dxa"/>
          </w:tcPr>
          <w:p w:rsidR="007E0146" w:rsidRPr="00262110" w:rsidRDefault="007E0146" w:rsidP="009E3D43"/>
        </w:tc>
        <w:tc>
          <w:tcPr>
            <w:tcW w:w="2816" w:type="dxa"/>
          </w:tcPr>
          <w:p w:rsidR="007E0146" w:rsidRPr="00C423A1" w:rsidRDefault="007E0146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262110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 w:rsidR="000B0566">
              <w:rPr>
                <w:b/>
                <w:bCs/>
              </w:rPr>
              <w:t>II</w:t>
            </w:r>
            <w:r w:rsidRPr="00262110">
              <w:rPr>
                <w:b/>
                <w:bCs/>
              </w:rPr>
              <w:t xml:space="preserve">. </w:t>
            </w:r>
            <w:r w:rsidR="008E3A68">
              <w:rPr>
                <w:b/>
                <w:bCs/>
              </w:rPr>
              <w:t xml:space="preserve">Updates </w:t>
            </w:r>
            <w:r w:rsidRPr="00262110">
              <w:rPr>
                <w:b/>
                <w:bCs/>
              </w:rPr>
              <w:t>/ Actions/ Recommendations</w:t>
            </w:r>
          </w:p>
          <w:p w:rsidR="00CA0D33" w:rsidRPr="00262110" w:rsidRDefault="00CA0D33" w:rsidP="001718AB">
            <w:pPr>
              <w:rPr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CA0D33">
            <w:pPr>
              <w:pStyle w:val="ListParagraph"/>
              <w:ind w:left="1440"/>
            </w:pPr>
          </w:p>
        </w:tc>
        <w:tc>
          <w:tcPr>
            <w:tcW w:w="3304" w:type="dxa"/>
          </w:tcPr>
          <w:p w:rsidR="00CA0D33" w:rsidRPr="00262110" w:rsidRDefault="00CA0D33" w:rsidP="00F2491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1718AB">
            <w:pPr>
              <w:rPr>
                <w:bCs/>
              </w:rPr>
            </w:pPr>
            <w:r w:rsidRPr="00262110">
              <w:rPr>
                <w:bCs/>
              </w:rPr>
              <w:t xml:space="preserve">1. </w:t>
            </w:r>
            <w:r>
              <w:rPr>
                <w:bCs/>
              </w:rPr>
              <w:t>Background Investigation Policy, Pat Wilkins</w:t>
            </w:r>
          </w:p>
        </w:tc>
        <w:tc>
          <w:tcPr>
            <w:tcW w:w="4788" w:type="dxa"/>
          </w:tcPr>
          <w:p w:rsidR="00CA0D33" w:rsidRDefault="00B003BF" w:rsidP="00B003BF">
            <w:pPr>
              <w:pStyle w:val="ListParagraph"/>
              <w:numPr>
                <w:ilvl w:val="0"/>
                <w:numId w:val="33"/>
              </w:numPr>
            </w:pPr>
            <w:r>
              <w:t xml:space="preserve">We </w:t>
            </w:r>
            <w:r w:rsidRPr="00CE6560">
              <w:t>are</w:t>
            </w:r>
            <w:r w:rsidR="007E0146" w:rsidRPr="00CE6560">
              <w:t xml:space="preserve"> </w:t>
            </w:r>
            <w:r w:rsidR="007E0146">
              <w:t xml:space="preserve">waiting for </w:t>
            </w:r>
            <w:r>
              <w:t xml:space="preserve">a </w:t>
            </w:r>
            <w:r w:rsidRPr="00DC6B2A">
              <w:t>revised version</w:t>
            </w:r>
            <w:r w:rsidR="007E0146" w:rsidRPr="00DC6B2A">
              <w:t xml:space="preserve"> to </w:t>
            </w:r>
            <w:r w:rsidR="007E0146">
              <w:t xml:space="preserve">come back from the Executive Cabinet.  </w:t>
            </w:r>
          </w:p>
          <w:p w:rsidR="00CA0D33" w:rsidRPr="00262110" w:rsidRDefault="00CA0D33" w:rsidP="00CA0D33">
            <w:pPr>
              <w:pStyle w:val="ListParagraph"/>
              <w:ind w:left="360"/>
            </w:pPr>
          </w:p>
        </w:tc>
        <w:tc>
          <w:tcPr>
            <w:tcW w:w="3304" w:type="dxa"/>
          </w:tcPr>
          <w:p w:rsidR="00CA0D33" w:rsidRPr="00DC6B2A" w:rsidRDefault="007E0146" w:rsidP="00B003BF">
            <w:pPr>
              <w:pStyle w:val="ListParagraph"/>
              <w:numPr>
                <w:ilvl w:val="0"/>
                <w:numId w:val="33"/>
              </w:numPr>
            </w:pPr>
            <w:r w:rsidRPr="00DC6B2A">
              <w:t>Maureen will send</w:t>
            </w:r>
            <w:r w:rsidR="00B003BF" w:rsidRPr="00DC6B2A">
              <w:t xml:space="preserve"> out</w:t>
            </w:r>
            <w:r w:rsidRPr="00DC6B2A">
              <w:t xml:space="preserve"> </w:t>
            </w:r>
            <w:r w:rsidR="00B003BF" w:rsidRPr="00DC6B2A">
              <w:t>the revised version prior to the January</w:t>
            </w:r>
            <w:r w:rsidRPr="00DC6B2A">
              <w:t xml:space="preserve"> meeting.</w:t>
            </w: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8E3A68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8E3A68" w:rsidRPr="008E3A68" w:rsidRDefault="008E3A68" w:rsidP="008E3A68">
            <w:pPr>
              <w:pStyle w:val="ListParagraph"/>
              <w:numPr>
                <w:ilvl w:val="0"/>
                <w:numId w:val="31"/>
              </w:numPr>
              <w:ind w:left="72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8E3A68">
              <w:rPr>
                <w:bCs/>
              </w:rPr>
              <w:t>12-month and semi-monthly pay option</w:t>
            </w:r>
          </w:p>
        </w:tc>
        <w:tc>
          <w:tcPr>
            <w:tcW w:w="4788" w:type="dxa"/>
          </w:tcPr>
          <w:p w:rsidR="008E3A68" w:rsidRDefault="00000467" w:rsidP="00B003BF">
            <w:pPr>
              <w:pStyle w:val="ListParagraph"/>
              <w:numPr>
                <w:ilvl w:val="0"/>
                <w:numId w:val="33"/>
              </w:numPr>
            </w:pPr>
            <w:r>
              <w:t>There has been an endorsement from the provost to survey faculty concerning</w:t>
            </w:r>
            <w:r w:rsidR="00B003BF">
              <w:t xml:space="preserve"> </w:t>
            </w:r>
            <w:r w:rsidR="00B003BF" w:rsidRPr="00CE6560">
              <w:t>a</w:t>
            </w:r>
            <w:r>
              <w:t xml:space="preserve"> 12-month pay option</w:t>
            </w:r>
          </w:p>
          <w:p w:rsidR="00000467" w:rsidRDefault="00000467" w:rsidP="00B003BF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UGA tried a 12-month or Semi-monthly pay in 2006 but stopped due to reductions in retirement benefits and potential tax penalties (IRS 409A policy)</w:t>
            </w:r>
          </w:p>
          <w:p w:rsidR="00000467" w:rsidRDefault="00000467" w:rsidP="00B003BF">
            <w:pPr>
              <w:pStyle w:val="ListParagraph"/>
              <w:numPr>
                <w:ilvl w:val="0"/>
                <w:numId w:val="33"/>
              </w:numPr>
            </w:pPr>
            <w:r>
              <w:t>Many of the issues preventing a change  are related to ADP, but this should be replace</w:t>
            </w:r>
            <w:r w:rsidR="00B003BF" w:rsidRPr="00CE6560">
              <w:t>d</w:t>
            </w:r>
            <w:r>
              <w:t xml:space="preserve"> in the near future</w:t>
            </w:r>
          </w:p>
          <w:p w:rsidR="00B003BF" w:rsidRDefault="00B003BF" w:rsidP="00B003BF">
            <w:pPr>
              <w:pStyle w:val="ListParagraph"/>
              <w:numPr>
                <w:ilvl w:val="0"/>
                <w:numId w:val="33"/>
              </w:numPr>
            </w:pPr>
            <w:r>
              <w:t>We have also been told that State Law prevents this option, but not what that law is</w:t>
            </w:r>
          </w:p>
          <w:p w:rsidR="00000467" w:rsidRPr="00DC6B2A" w:rsidRDefault="00000467" w:rsidP="00B003BF">
            <w:pPr>
              <w:pStyle w:val="ListParagraph"/>
              <w:numPr>
                <w:ilvl w:val="0"/>
                <w:numId w:val="33"/>
              </w:numPr>
            </w:pPr>
            <w:r w:rsidRPr="00DC6B2A">
              <w:t>One option</w:t>
            </w:r>
            <w:r w:rsidR="00B003BF" w:rsidRPr="00DC6B2A">
              <w:t xml:space="preserve"> for 10-month employees</w:t>
            </w:r>
            <w:r w:rsidRPr="00DC6B2A">
              <w:t xml:space="preserve"> that does not involve BOR</w:t>
            </w:r>
            <w:r w:rsidR="00B010D8" w:rsidRPr="00DC6B2A">
              <w:t xml:space="preserve"> is an</w:t>
            </w:r>
            <w:r w:rsidR="00B003BF" w:rsidRPr="00DC6B2A">
              <w:t xml:space="preserve"> automatic saving deduction</w:t>
            </w:r>
            <w:r w:rsidR="00B010D8" w:rsidRPr="00DC6B2A">
              <w:t>, which is already available.  Employees can have the majority of their monthly paycheck deposited in one account and a separate portion to a second account.  This is not widely known, and should be pointed out</w:t>
            </w:r>
          </w:p>
          <w:p w:rsidR="00000467" w:rsidRDefault="00000467" w:rsidP="00000467">
            <w:pPr>
              <w:pStyle w:val="ListParagraph"/>
              <w:jc w:val="both"/>
            </w:pPr>
          </w:p>
        </w:tc>
        <w:tc>
          <w:tcPr>
            <w:tcW w:w="3304" w:type="dxa"/>
          </w:tcPr>
          <w:p w:rsidR="008E3A68" w:rsidRPr="00DC6B2A" w:rsidRDefault="00B010D8" w:rsidP="007E0146">
            <w:pPr>
              <w:pStyle w:val="ListParagraph"/>
              <w:numPr>
                <w:ilvl w:val="0"/>
                <w:numId w:val="33"/>
              </w:numPr>
            </w:pPr>
            <w:r w:rsidRPr="00DC6B2A">
              <w:lastRenderedPageBreak/>
              <w:t xml:space="preserve">Maureen will get feedback from ECUS-SCC and work with </w:t>
            </w:r>
            <w:r w:rsidRPr="00DC6B2A">
              <w:lastRenderedPageBreak/>
              <w:t>Barbara Monet in University Communications to deliver a survey to all 10-month employees</w:t>
            </w:r>
          </w:p>
        </w:tc>
        <w:tc>
          <w:tcPr>
            <w:tcW w:w="2816" w:type="dxa"/>
          </w:tcPr>
          <w:p w:rsidR="008E3A68" w:rsidRPr="00C423A1" w:rsidRDefault="008E3A68" w:rsidP="009B0966"/>
        </w:tc>
      </w:tr>
      <w:tr w:rsidR="00000467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000467" w:rsidRDefault="00000467" w:rsidP="008E3A68">
            <w:pPr>
              <w:pStyle w:val="ListParagraph"/>
              <w:numPr>
                <w:ilvl w:val="0"/>
                <w:numId w:val="31"/>
              </w:numPr>
              <w:ind w:left="72"/>
              <w:rPr>
                <w:bCs/>
              </w:rPr>
            </w:pPr>
            <w:r>
              <w:rPr>
                <w:bCs/>
              </w:rPr>
              <w:lastRenderedPageBreak/>
              <w:t>3. Sustainability Council, Doug Oetter</w:t>
            </w:r>
          </w:p>
        </w:tc>
        <w:tc>
          <w:tcPr>
            <w:tcW w:w="4788" w:type="dxa"/>
          </w:tcPr>
          <w:p w:rsidR="00830F74" w:rsidRDefault="00830F74" w:rsidP="00B010D8">
            <w:pPr>
              <w:pStyle w:val="ListParagraph"/>
              <w:numPr>
                <w:ilvl w:val="0"/>
                <w:numId w:val="33"/>
              </w:numPr>
            </w:pPr>
            <w:r>
              <w:t>The new recycling initiative is working out well</w:t>
            </w:r>
            <w:r w:rsidR="00B010D8">
              <w:t>, there is a n</w:t>
            </w:r>
            <w:r>
              <w:t>eed more bins in classrooms</w:t>
            </w:r>
          </w:p>
          <w:p w:rsidR="00830F74" w:rsidRDefault="00830F74" w:rsidP="00B010D8">
            <w:pPr>
              <w:pStyle w:val="ListParagraph"/>
              <w:numPr>
                <w:ilvl w:val="0"/>
                <w:numId w:val="33"/>
              </w:numPr>
            </w:pPr>
            <w:r>
              <w:t>Looking for hotspots of bins to redistribute</w:t>
            </w:r>
          </w:p>
          <w:p w:rsidR="00830F74" w:rsidRPr="00DC6B2A" w:rsidRDefault="00B010D8" w:rsidP="00B010D8">
            <w:pPr>
              <w:pStyle w:val="ListParagraph"/>
              <w:numPr>
                <w:ilvl w:val="0"/>
                <w:numId w:val="33"/>
              </w:numPr>
            </w:pPr>
            <w:r w:rsidRPr="00DC6B2A">
              <w:t>The c</w:t>
            </w:r>
            <w:r w:rsidR="00830F74" w:rsidRPr="00DC6B2A">
              <w:t>ampus has a sustainability action plan</w:t>
            </w:r>
            <w:r w:rsidRPr="00DC6B2A">
              <w:t xml:space="preserve"> (</w:t>
            </w:r>
            <w:r w:rsidR="00830F74" w:rsidRPr="00DC6B2A">
              <w:t>a working document</w:t>
            </w:r>
            <w:r w:rsidRPr="00DC6B2A">
              <w:t>)</w:t>
            </w:r>
          </w:p>
          <w:p w:rsidR="00B010D8" w:rsidRDefault="00B010D8" w:rsidP="007E0146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DC6B2A">
              <w:t>The next item to be tackled is energy usage</w:t>
            </w:r>
          </w:p>
        </w:tc>
        <w:tc>
          <w:tcPr>
            <w:tcW w:w="3304" w:type="dxa"/>
          </w:tcPr>
          <w:p w:rsidR="00000467" w:rsidRDefault="00000467" w:rsidP="00830F74">
            <w:pPr>
              <w:pStyle w:val="ListParagraph"/>
            </w:pPr>
          </w:p>
        </w:tc>
        <w:tc>
          <w:tcPr>
            <w:tcW w:w="2816" w:type="dxa"/>
          </w:tcPr>
          <w:p w:rsidR="00000467" w:rsidRPr="00C423A1" w:rsidRDefault="00000467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4A6A2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VI</w:t>
            </w:r>
            <w:r w:rsidR="000B0566">
              <w:rPr>
                <w:bCs w:val="0"/>
              </w:rPr>
              <w:t>I</w:t>
            </w:r>
            <w:r>
              <w:rPr>
                <w:bCs w:val="0"/>
              </w:rPr>
              <w:t>I. Reports</w:t>
            </w:r>
          </w:p>
          <w:p w:rsidR="00CA0D33" w:rsidRPr="00262110" w:rsidRDefault="00CA0D33" w:rsidP="00262110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59181E">
            <w:pPr>
              <w:pStyle w:val="ListParagraph"/>
            </w:pPr>
          </w:p>
          <w:p w:rsidR="00CA0D33" w:rsidRPr="00262110" w:rsidRDefault="00CA0D33" w:rsidP="00262110"/>
        </w:tc>
        <w:tc>
          <w:tcPr>
            <w:tcW w:w="3304" w:type="dxa"/>
          </w:tcPr>
          <w:p w:rsidR="00CA0D33" w:rsidRPr="00262110" w:rsidRDefault="00CA0D33" w:rsidP="00FD1D0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FF72EA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FF72EA">
            <w:pPr>
              <w:pStyle w:val="ListParagraph"/>
              <w:ind w:left="1440"/>
            </w:pPr>
          </w:p>
        </w:tc>
        <w:tc>
          <w:tcPr>
            <w:tcW w:w="3304" w:type="dxa"/>
          </w:tcPr>
          <w:p w:rsidR="00CA0D33" w:rsidRPr="00262110" w:rsidRDefault="00CA0D33" w:rsidP="00FD1D0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5C1080">
            <w:pPr>
              <w:rPr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262110">
            <w:pPr>
              <w:ind w:left="1080"/>
            </w:pPr>
          </w:p>
        </w:tc>
        <w:tc>
          <w:tcPr>
            <w:tcW w:w="3304" w:type="dxa"/>
          </w:tcPr>
          <w:p w:rsidR="00CA0D33" w:rsidRPr="00262110" w:rsidRDefault="00CA0D33" w:rsidP="00FD1D02">
            <w:pPr>
              <w:pStyle w:val="ListParagraph"/>
            </w:pPr>
          </w:p>
        </w:tc>
        <w:tc>
          <w:tcPr>
            <w:tcW w:w="2816" w:type="dxa"/>
          </w:tcPr>
          <w:p w:rsidR="00CA0D33" w:rsidRPr="00C423A1" w:rsidRDefault="00CA0D33" w:rsidP="009B0966"/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0B0566" w:rsidP="005E16FB">
            <w:r>
              <w:rPr>
                <w:b/>
                <w:bCs/>
              </w:rPr>
              <w:t>IX</w:t>
            </w:r>
            <w:r w:rsidR="00CA0D33" w:rsidRPr="00262110">
              <w:rPr>
                <w:b/>
                <w:bCs/>
              </w:rPr>
              <w:t>.  Next Meeting</w:t>
            </w:r>
          </w:p>
        </w:tc>
        <w:tc>
          <w:tcPr>
            <w:tcW w:w="4788" w:type="dxa"/>
          </w:tcPr>
          <w:p w:rsidR="00CA0D33" w:rsidRPr="00262110" w:rsidRDefault="00CA0D33" w:rsidP="003B168D">
            <w:pPr>
              <w:pStyle w:val="ListParagraph"/>
            </w:pPr>
            <w:r w:rsidRPr="00262110">
              <w:t xml:space="preserve">Friday, </w:t>
            </w:r>
            <w:r w:rsidR="003B168D">
              <w:t>Jan</w:t>
            </w:r>
            <w:r w:rsidRPr="00262110">
              <w:t xml:space="preserve">. </w:t>
            </w:r>
            <w:r w:rsidR="003B168D">
              <w:t>24</w:t>
            </w:r>
            <w:r w:rsidRPr="00EF3D8E">
              <w:rPr>
                <w:vertAlign w:val="superscript"/>
              </w:rPr>
              <w:t>th</w:t>
            </w:r>
            <w:r w:rsidRPr="00262110">
              <w:t xml:space="preserve">, 2:00pm, </w:t>
            </w:r>
            <w:r w:rsidR="009A6EA8">
              <w:t>HSB</w:t>
            </w:r>
            <w:r w:rsidRPr="00262110">
              <w:t xml:space="preserve"> 2</w:t>
            </w:r>
            <w:r w:rsidR="009A6EA8">
              <w:t>-11</w:t>
            </w:r>
          </w:p>
        </w:tc>
        <w:tc>
          <w:tcPr>
            <w:tcW w:w="3304" w:type="dxa"/>
          </w:tcPr>
          <w:p w:rsidR="00CA0D33" w:rsidRPr="00262110" w:rsidRDefault="00B010D8" w:rsidP="00B010D8">
            <w:r>
              <w:t>Agenda will include Sexual Ha</w:t>
            </w:r>
            <w:r w:rsidR="00CA0D33">
              <w:t>rassment Policy</w:t>
            </w:r>
            <w:r>
              <w:t>,</w:t>
            </w:r>
            <w:r w:rsidR="00FF72EA">
              <w:t xml:space="preserve"> </w:t>
            </w:r>
            <w:r w:rsidR="00FF72EA">
              <w:lastRenderedPageBreak/>
              <w:t>Background Investigation Policy</w:t>
            </w:r>
            <w:r>
              <w:t>, and</w:t>
            </w:r>
            <w:r w:rsidRPr="00DC6B2A">
              <w:t xml:space="preserve"> parking issues</w:t>
            </w:r>
          </w:p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583D62">
            <w:pPr>
              <w:pStyle w:val="Heading1"/>
            </w:pPr>
            <w:r>
              <w:lastRenderedPageBreak/>
              <w:t>X</w:t>
            </w:r>
            <w:r w:rsidRPr="00262110">
              <w:t>.  Adjournment</w:t>
            </w:r>
          </w:p>
          <w:p w:rsidR="00CA0D33" w:rsidRPr="00262110" w:rsidRDefault="00CA0D33" w:rsidP="004A6A23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788" w:type="dxa"/>
          </w:tcPr>
          <w:p w:rsidR="00CA0D33" w:rsidRPr="00262110" w:rsidRDefault="009A6EA8" w:rsidP="00EF3D8E">
            <w:r>
              <w:t>The meeting was adjourned at 3:3</w:t>
            </w:r>
            <w:r w:rsidR="00CA0D33" w:rsidRPr="00262110">
              <w:t>0pm</w:t>
            </w:r>
          </w:p>
        </w:tc>
        <w:tc>
          <w:tcPr>
            <w:tcW w:w="3304" w:type="dxa"/>
          </w:tcPr>
          <w:p w:rsidR="00CA0D33" w:rsidRPr="00262110" w:rsidRDefault="00CA0D33" w:rsidP="009A6EA8">
            <w:pPr>
              <w:pStyle w:val="ListParagraph"/>
            </w:pPr>
          </w:p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4A6A23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F47C38"/>
        </w:tc>
        <w:tc>
          <w:tcPr>
            <w:tcW w:w="3304" w:type="dxa"/>
          </w:tcPr>
          <w:p w:rsidR="00CA0D33" w:rsidRPr="00262110" w:rsidRDefault="00CA0D33" w:rsidP="008B1877"/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4A6A23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EF3D8E"/>
        </w:tc>
        <w:tc>
          <w:tcPr>
            <w:tcW w:w="3304" w:type="dxa"/>
          </w:tcPr>
          <w:p w:rsidR="00CA0D33" w:rsidRPr="00262110" w:rsidRDefault="00CA0D33" w:rsidP="008B1877"/>
        </w:tc>
        <w:tc>
          <w:tcPr>
            <w:tcW w:w="2816" w:type="dxa"/>
          </w:tcPr>
          <w:p w:rsidR="00CA0D33" w:rsidRPr="008B1877" w:rsidRDefault="00CA0D33" w:rsidP="002C52B3">
            <w:pPr>
              <w:rPr>
                <w:sz w:val="20"/>
              </w:rPr>
            </w:pPr>
          </w:p>
        </w:tc>
      </w:tr>
      <w:tr w:rsidR="00CA0D3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CA0D33" w:rsidRPr="00262110" w:rsidRDefault="00CA0D33" w:rsidP="004A6A23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CA0D33" w:rsidRPr="00262110" w:rsidRDefault="00CA0D33" w:rsidP="00583D62">
            <w:pPr>
              <w:spacing w:after="200" w:line="276" w:lineRule="auto"/>
            </w:pPr>
          </w:p>
        </w:tc>
        <w:tc>
          <w:tcPr>
            <w:tcW w:w="3304" w:type="dxa"/>
          </w:tcPr>
          <w:p w:rsidR="00CA0D33" w:rsidRPr="00262110" w:rsidRDefault="00CA0D33" w:rsidP="008B1877"/>
        </w:tc>
        <w:tc>
          <w:tcPr>
            <w:tcW w:w="2816" w:type="dxa"/>
          </w:tcPr>
          <w:p w:rsidR="00CA0D33" w:rsidRPr="008B1877" w:rsidRDefault="00CA0D3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59181E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  <w:r w:rsidR="00FB6DF7"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83D62">
        <w:rPr>
          <w:b/>
          <w:bCs/>
          <w:smallCaps/>
          <w:sz w:val="28"/>
          <w:szCs w:val="28"/>
        </w:rPr>
        <w:t>RPIPC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83D62">
        <w:rPr>
          <w:b/>
          <w:bCs/>
          <w:smallCaps/>
          <w:sz w:val="28"/>
          <w:szCs w:val="28"/>
        </w:rPr>
        <w:t xml:space="preserve">Chair: </w:t>
      </w:r>
      <w:r w:rsidR="00583D62">
        <w:t>Maureen Horgan, Vice Chair: Jan Clark, Secretary: Ben Davis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83D62" w:rsidRPr="00583D62">
        <w:rPr>
          <w:b/>
          <w:bCs/>
          <w:smallCaps/>
          <w:sz w:val="28"/>
          <w:szCs w:val="28"/>
        </w:rPr>
        <w:t xml:space="preserve"> 2014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C06662" w:rsidRPr="0014666D" w:rsidRDefault="00C0666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892A7C">
            <w:pPr>
              <w:jc w:val="center"/>
              <w:rPr>
                <w:b/>
              </w:rPr>
            </w:pPr>
            <w:r w:rsidRPr="00583D62">
              <w:rPr>
                <w:b/>
              </w:rPr>
              <w:t>AUG. 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C0666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Pr="00583D62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34445F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 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</w:tr>
      <w:tr w:rsidR="00C06662" w:rsidRPr="0014666D" w:rsidTr="007A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McMillan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662" w:rsidRPr="000507F8" w:rsidRDefault="0034445F" w:rsidP="003444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Davis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Doc St. Clair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Doug Oetter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Elizabeth McCauley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E206A0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Holly Nix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Jan 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Macon McGinley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Maureen Horgan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Pat Wilkins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Shea Groebner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E206A0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34445F" w:rsidP="00D50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34445F">
              <w:t>(Dan Hann)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0" w:rsidRDefault="00C563F0">
      <w:r>
        <w:separator/>
      </w:r>
    </w:p>
  </w:endnote>
  <w:endnote w:type="continuationSeparator" w:id="0">
    <w:p w:rsidR="00C563F0" w:rsidRDefault="00C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0" w:rsidRDefault="00C563F0">
      <w:r>
        <w:separator/>
      </w:r>
    </w:p>
  </w:footnote>
  <w:footnote w:type="continuationSeparator" w:id="0">
    <w:p w:rsidR="00C563F0" w:rsidRDefault="00C5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09FB"/>
    <w:multiLevelType w:val="hybridMultilevel"/>
    <w:tmpl w:val="196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E8C3879"/>
    <w:multiLevelType w:val="hybridMultilevel"/>
    <w:tmpl w:val="86E4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634DD5"/>
    <w:multiLevelType w:val="hybridMultilevel"/>
    <w:tmpl w:val="1CF0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AC35BC"/>
    <w:multiLevelType w:val="hybridMultilevel"/>
    <w:tmpl w:val="3D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1F2D42EE"/>
    <w:multiLevelType w:val="hybridMultilevel"/>
    <w:tmpl w:val="AFA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362A"/>
    <w:multiLevelType w:val="hybridMultilevel"/>
    <w:tmpl w:val="292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B59B3"/>
    <w:multiLevelType w:val="hybridMultilevel"/>
    <w:tmpl w:val="585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F66623"/>
    <w:multiLevelType w:val="hybridMultilevel"/>
    <w:tmpl w:val="476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19F5"/>
    <w:multiLevelType w:val="hybridMultilevel"/>
    <w:tmpl w:val="68B8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5692B"/>
    <w:multiLevelType w:val="hybridMultilevel"/>
    <w:tmpl w:val="B814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7DC"/>
    <w:multiLevelType w:val="hybridMultilevel"/>
    <w:tmpl w:val="5F6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4803BC"/>
    <w:multiLevelType w:val="hybridMultilevel"/>
    <w:tmpl w:val="0E1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12B218A"/>
    <w:multiLevelType w:val="hybridMultilevel"/>
    <w:tmpl w:val="EF08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D75B9"/>
    <w:multiLevelType w:val="hybridMultilevel"/>
    <w:tmpl w:val="E7A6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BB363F"/>
    <w:multiLevelType w:val="hybridMultilevel"/>
    <w:tmpl w:val="B98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364BF6"/>
    <w:multiLevelType w:val="hybridMultilevel"/>
    <w:tmpl w:val="F182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F58"/>
    <w:multiLevelType w:val="hybridMultilevel"/>
    <w:tmpl w:val="715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78C27502"/>
    <w:multiLevelType w:val="hybridMultilevel"/>
    <w:tmpl w:val="0D3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8"/>
  </w:num>
  <w:num w:numId="9">
    <w:abstractNumId w:val="26"/>
  </w:num>
  <w:num w:numId="10">
    <w:abstractNumId w:val="2"/>
  </w:num>
  <w:num w:numId="11">
    <w:abstractNumId w:val="31"/>
  </w:num>
  <w:num w:numId="12">
    <w:abstractNumId w:val="10"/>
  </w:num>
  <w:num w:numId="13">
    <w:abstractNumId w:val="9"/>
  </w:num>
  <w:num w:numId="14">
    <w:abstractNumId w:val="0"/>
  </w:num>
  <w:num w:numId="15">
    <w:abstractNumId w:val="25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24"/>
  </w:num>
  <w:num w:numId="21">
    <w:abstractNumId w:val="14"/>
  </w:num>
  <w:num w:numId="22">
    <w:abstractNumId w:val="23"/>
  </w:num>
  <w:num w:numId="23">
    <w:abstractNumId w:val="4"/>
  </w:num>
  <w:num w:numId="24">
    <w:abstractNumId w:val="27"/>
  </w:num>
  <w:num w:numId="25">
    <w:abstractNumId w:val="17"/>
  </w:num>
  <w:num w:numId="26">
    <w:abstractNumId w:val="30"/>
  </w:num>
  <w:num w:numId="27">
    <w:abstractNumId w:val="1"/>
  </w:num>
  <w:num w:numId="28">
    <w:abstractNumId w:val="21"/>
  </w:num>
  <w:num w:numId="29">
    <w:abstractNumId w:val="17"/>
  </w:num>
  <w:num w:numId="30">
    <w:abstractNumId w:val="32"/>
  </w:num>
  <w:num w:numId="31">
    <w:abstractNumId w:val="19"/>
  </w:num>
  <w:num w:numId="32">
    <w:abstractNumId w:val="3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467"/>
    <w:rsid w:val="000167FB"/>
    <w:rsid w:val="000215C8"/>
    <w:rsid w:val="00033569"/>
    <w:rsid w:val="00041C23"/>
    <w:rsid w:val="000507F8"/>
    <w:rsid w:val="00071A3E"/>
    <w:rsid w:val="0008395E"/>
    <w:rsid w:val="0008544B"/>
    <w:rsid w:val="00092D4A"/>
    <w:rsid w:val="00095528"/>
    <w:rsid w:val="000B0566"/>
    <w:rsid w:val="000B6B06"/>
    <w:rsid w:val="000B780F"/>
    <w:rsid w:val="000F3792"/>
    <w:rsid w:val="000F4925"/>
    <w:rsid w:val="0010559F"/>
    <w:rsid w:val="0014666D"/>
    <w:rsid w:val="00147526"/>
    <w:rsid w:val="001534E1"/>
    <w:rsid w:val="00164A00"/>
    <w:rsid w:val="001718AB"/>
    <w:rsid w:val="00171EE3"/>
    <w:rsid w:val="001736BC"/>
    <w:rsid w:val="001757C4"/>
    <w:rsid w:val="00182B66"/>
    <w:rsid w:val="00190F09"/>
    <w:rsid w:val="00192D1B"/>
    <w:rsid w:val="001A2105"/>
    <w:rsid w:val="001C7F61"/>
    <w:rsid w:val="001D046D"/>
    <w:rsid w:val="001D6968"/>
    <w:rsid w:val="001E511A"/>
    <w:rsid w:val="001F3B0B"/>
    <w:rsid w:val="002077E6"/>
    <w:rsid w:val="00233260"/>
    <w:rsid w:val="0024533E"/>
    <w:rsid w:val="00262110"/>
    <w:rsid w:val="00276814"/>
    <w:rsid w:val="00280A66"/>
    <w:rsid w:val="00292D19"/>
    <w:rsid w:val="002B16B2"/>
    <w:rsid w:val="002C221C"/>
    <w:rsid w:val="002C3502"/>
    <w:rsid w:val="002C52B3"/>
    <w:rsid w:val="002D5FA3"/>
    <w:rsid w:val="002E6CDF"/>
    <w:rsid w:val="002F0883"/>
    <w:rsid w:val="002F2058"/>
    <w:rsid w:val="003115F6"/>
    <w:rsid w:val="00313CCC"/>
    <w:rsid w:val="00316A1B"/>
    <w:rsid w:val="00320351"/>
    <w:rsid w:val="00332141"/>
    <w:rsid w:val="00335B6A"/>
    <w:rsid w:val="0034445F"/>
    <w:rsid w:val="00344B37"/>
    <w:rsid w:val="003454F9"/>
    <w:rsid w:val="003821DA"/>
    <w:rsid w:val="003A1462"/>
    <w:rsid w:val="003B168D"/>
    <w:rsid w:val="003D3800"/>
    <w:rsid w:val="003E2351"/>
    <w:rsid w:val="003E4149"/>
    <w:rsid w:val="003E7EB3"/>
    <w:rsid w:val="003F4AA3"/>
    <w:rsid w:val="003F681F"/>
    <w:rsid w:val="00400D60"/>
    <w:rsid w:val="0040230E"/>
    <w:rsid w:val="0040653E"/>
    <w:rsid w:val="004208CE"/>
    <w:rsid w:val="00425CE6"/>
    <w:rsid w:val="00440816"/>
    <w:rsid w:val="00441C92"/>
    <w:rsid w:val="00443B00"/>
    <w:rsid w:val="00444428"/>
    <w:rsid w:val="00445E7F"/>
    <w:rsid w:val="00447A2A"/>
    <w:rsid w:val="00447B56"/>
    <w:rsid w:val="00455A30"/>
    <w:rsid w:val="004615EA"/>
    <w:rsid w:val="00465F2E"/>
    <w:rsid w:val="0047678D"/>
    <w:rsid w:val="004774A2"/>
    <w:rsid w:val="004A563E"/>
    <w:rsid w:val="004A6A23"/>
    <w:rsid w:val="004E039B"/>
    <w:rsid w:val="004E1440"/>
    <w:rsid w:val="004E26A4"/>
    <w:rsid w:val="004E3901"/>
    <w:rsid w:val="004F5424"/>
    <w:rsid w:val="00503D2A"/>
    <w:rsid w:val="005178A2"/>
    <w:rsid w:val="00517FDD"/>
    <w:rsid w:val="00536A40"/>
    <w:rsid w:val="00541C98"/>
    <w:rsid w:val="00566FCF"/>
    <w:rsid w:val="00571EB8"/>
    <w:rsid w:val="00583D62"/>
    <w:rsid w:val="005854D8"/>
    <w:rsid w:val="00587DE3"/>
    <w:rsid w:val="005908DD"/>
    <w:rsid w:val="0059181E"/>
    <w:rsid w:val="005924CF"/>
    <w:rsid w:val="005A2296"/>
    <w:rsid w:val="005C1080"/>
    <w:rsid w:val="005E05D9"/>
    <w:rsid w:val="005E0D44"/>
    <w:rsid w:val="005E16FB"/>
    <w:rsid w:val="005E34DD"/>
    <w:rsid w:val="00602CF5"/>
    <w:rsid w:val="0060691E"/>
    <w:rsid w:val="00615E39"/>
    <w:rsid w:val="00621E44"/>
    <w:rsid w:val="006220B8"/>
    <w:rsid w:val="00631D9A"/>
    <w:rsid w:val="00645F4A"/>
    <w:rsid w:val="00646059"/>
    <w:rsid w:val="00650251"/>
    <w:rsid w:val="00654015"/>
    <w:rsid w:val="00660495"/>
    <w:rsid w:val="00666EFF"/>
    <w:rsid w:val="006822B6"/>
    <w:rsid w:val="00691580"/>
    <w:rsid w:val="00696F10"/>
    <w:rsid w:val="00697439"/>
    <w:rsid w:val="006B2C5B"/>
    <w:rsid w:val="006C2097"/>
    <w:rsid w:val="006E3EE7"/>
    <w:rsid w:val="006E6389"/>
    <w:rsid w:val="006F53EF"/>
    <w:rsid w:val="00706EC9"/>
    <w:rsid w:val="0071209E"/>
    <w:rsid w:val="00715F27"/>
    <w:rsid w:val="007351B8"/>
    <w:rsid w:val="00750727"/>
    <w:rsid w:val="0075393F"/>
    <w:rsid w:val="00766163"/>
    <w:rsid w:val="007717E5"/>
    <w:rsid w:val="007876E0"/>
    <w:rsid w:val="0079008F"/>
    <w:rsid w:val="00790D29"/>
    <w:rsid w:val="00795292"/>
    <w:rsid w:val="007B114E"/>
    <w:rsid w:val="007C3743"/>
    <w:rsid w:val="007D2387"/>
    <w:rsid w:val="007E0146"/>
    <w:rsid w:val="007E3B7E"/>
    <w:rsid w:val="00830F74"/>
    <w:rsid w:val="008312C4"/>
    <w:rsid w:val="00834746"/>
    <w:rsid w:val="00836B6D"/>
    <w:rsid w:val="00842C15"/>
    <w:rsid w:val="008534A7"/>
    <w:rsid w:val="0086210A"/>
    <w:rsid w:val="00867B74"/>
    <w:rsid w:val="0087351C"/>
    <w:rsid w:val="0087404D"/>
    <w:rsid w:val="00882493"/>
    <w:rsid w:val="00883914"/>
    <w:rsid w:val="00892A7C"/>
    <w:rsid w:val="00892D48"/>
    <w:rsid w:val="00894168"/>
    <w:rsid w:val="008A20A6"/>
    <w:rsid w:val="008B1877"/>
    <w:rsid w:val="008B3C6D"/>
    <w:rsid w:val="008B47DA"/>
    <w:rsid w:val="008E3A68"/>
    <w:rsid w:val="008E5FC5"/>
    <w:rsid w:val="008F022D"/>
    <w:rsid w:val="0091068A"/>
    <w:rsid w:val="00920A41"/>
    <w:rsid w:val="009261D1"/>
    <w:rsid w:val="009337C9"/>
    <w:rsid w:val="0093491D"/>
    <w:rsid w:val="00940D7D"/>
    <w:rsid w:val="00947CF9"/>
    <w:rsid w:val="00967EF8"/>
    <w:rsid w:val="00973FD5"/>
    <w:rsid w:val="009777F8"/>
    <w:rsid w:val="009915FE"/>
    <w:rsid w:val="009934DE"/>
    <w:rsid w:val="009A6EA8"/>
    <w:rsid w:val="009B0966"/>
    <w:rsid w:val="009D31CF"/>
    <w:rsid w:val="009E3D43"/>
    <w:rsid w:val="009F0128"/>
    <w:rsid w:val="00A0233A"/>
    <w:rsid w:val="00A11911"/>
    <w:rsid w:val="00A17BCB"/>
    <w:rsid w:val="00A3183C"/>
    <w:rsid w:val="00A36283"/>
    <w:rsid w:val="00A36DC4"/>
    <w:rsid w:val="00A42A08"/>
    <w:rsid w:val="00A64755"/>
    <w:rsid w:val="00A84E1E"/>
    <w:rsid w:val="00A93F1B"/>
    <w:rsid w:val="00A93FA1"/>
    <w:rsid w:val="00A9536E"/>
    <w:rsid w:val="00AB27BD"/>
    <w:rsid w:val="00AB5D31"/>
    <w:rsid w:val="00AC06FB"/>
    <w:rsid w:val="00AC3F57"/>
    <w:rsid w:val="00AD157C"/>
    <w:rsid w:val="00AE043E"/>
    <w:rsid w:val="00B003BF"/>
    <w:rsid w:val="00B010D8"/>
    <w:rsid w:val="00B11C50"/>
    <w:rsid w:val="00B132F6"/>
    <w:rsid w:val="00B44C7A"/>
    <w:rsid w:val="00B53E8C"/>
    <w:rsid w:val="00B80200"/>
    <w:rsid w:val="00B8178C"/>
    <w:rsid w:val="00B925D1"/>
    <w:rsid w:val="00B94B79"/>
    <w:rsid w:val="00BA23DA"/>
    <w:rsid w:val="00BB0581"/>
    <w:rsid w:val="00BB0A15"/>
    <w:rsid w:val="00BB32F6"/>
    <w:rsid w:val="00BE3BFC"/>
    <w:rsid w:val="00BE7DF8"/>
    <w:rsid w:val="00BF2414"/>
    <w:rsid w:val="00BF7D94"/>
    <w:rsid w:val="00C0541B"/>
    <w:rsid w:val="00C06662"/>
    <w:rsid w:val="00C36C92"/>
    <w:rsid w:val="00C423A1"/>
    <w:rsid w:val="00C456BA"/>
    <w:rsid w:val="00C525D7"/>
    <w:rsid w:val="00C52B89"/>
    <w:rsid w:val="00C550F1"/>
    <w:rsid w:val="00C563F0"/>
    <w:rsid w:val="00C672CE"/>
    <w:rsid w:val="00C67485"/>
    <w:rsid w:val="00C74378"/>
    <w:rsid w:val="00C8539E"/>
    <w:rsid w:val="00CA0D33"/>
    <w:rsid w:val="00CB1256"/>
    <w:rsid w:val="00CB2506"/>
    <w:rsid w:val="00CB6428"/>
    <w:rsid w:val="00CC218D"/>
    <w:rsid w:val="00CC25F8"/>
    <w:rsid w:val="00CC49A0"/>
    <w:rsid w:val="00CE6560"/>
    <w:rsid w:val="00CF0DDA"/>
    <w:rsid w:val="00D171B9"/>
    <w:rsid w:val="00D21461"/>
    <w:rsid w:val="00D278E3"/>
    <w:rsid w:val="00D3100C"/>
    <w:rsid w:val="00D3422A"/>
    <w:rsid w:val="00D55D77"/>
    <w:rsid w:val="00D61215"/>
    <w:rsid w:val="00D94713"/>
    <w:rsid w:val="00DA0149"/>
    <w:rsid w:val="00DA144F"/>
    <w:rsid w:val="00DA608D"/>
    <w:rsid w:val="00DB1591"/>
    <w:rsid w:val="00DC0B9E"/>
    <w:rsid w:val="00DC6B2A"/>
    <w:rsid w:val="00DC73A4"/>
    <w:rsid w:val="00DF07F9"/>
    <w:rsid w:val="00E13AA8"/>
    <w:rsid w:val="00E17609"/>
    <w:rsid w:val="00E1796A"/>
    <w:rsid w:val="00E206A0"/>
    <w:rsid w:val="00E57EB6"/>
    <w:rsid w:val="00E72153"/>
    <w:rsid w:val="00E97A2A"/>
    <w:rsid w:val="00EA3579"/>
    <w:rsid w:val="00EA45BE"/>
    <w:rsid w:val="00EB0AAF"/>
    <w:rsid w:val="00EB2C53"/>
    <w:rsid w:val="00EB7EF1"/>
    <w:rsid w:val="00EC5DD8"/>
    <w:rsid w:val="00ED0EC2"/>
    <w:rsid w:val="00EE074B"/>
    <w:rsid w:val="00EE5E17"/>
    <w:rsid w:val="00EF1765"/>
    <w:rsid w:val="00EF3D8E"/>
    <w:rsid w:val="00EF78EC"/>
    <w:rsid w:val="00EF7EFF"/>
    <w:rsid w:val="00F14373"/>
    <w:rsid w:val="00F231ED"/>
    <w:rsid w:val="00F24912"/>
    <w:rsid w:val="00F256AC"/>
    <w:rsid w:val="00F47C38"/>
    <w:rsid w:val="00F57005"/>
    <w:rsid w:val="00F60503"/>
    <w:rsid w:val="00F751FF"/>
    <w:rsid w:val="00F77F7A"/>
    <w:rsid w:val="00F83B82"/>
    <w:rsid w:val="00F957CC"/>
    <w:rsid w:val="00FA056B"/>
    <w:rsid w:val="00FA1DE5"/>
    <w:rsid w:val="00FB1171"/>
    <w:rsid w:val="00FB54A6"/>
    <w:rsid w:val="00FB6DF7"/>
    <w:rsid w:val="00FD1D02"/>
    <w:rsid w:val="00FD2F7F"/>
    <w:rsid w:val="00FD6AD0"/>
    <w:rsid w:val="00FE5945"/>
    <w:rsid w:val="00FF4478"/>
    <w:rsid w:val="00FF6D86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0CD5-2D88-420A-A9FC-2DF775FC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Ben Davis</cp:lastModifiedBy>
  <cp:revision>2</cp:revision>
  <cp:lastPrinted>2010-01-12T23:20:00Z</cp:lastPrinted>
  <dcterms:created xsi:type="dcterms:W3CDTF">2013-12-09T19:12:00Z</dcterms:created>
  <dcterms:modified xsi:type="dcterms:W3CDTF">2013-12-09T19:12:00Z</dcterms:modified>
</cp:coreProperties>
</file>