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84B38" w:rsidRPr="00B11C50" w:rsidRDefault="00784B38" w:rsidP="00784B38">
      <w:pPr>
        <w:rPr>
          <w:b/>
          <w:bCs/>
          <w:smallCaps/>
          <w:sz w:val="28"/>
          <w:szCs w:val="28"/>
        </w:rPr>
      </w:pPr>
      <w:r w:rsidRPr="00B11C50">
        <w:rPr>
          <w:b/>
          <w:bCs/>
          <w:smallCaps/>
          <w:sz w:val="28"/>
          <w:szCs w:val="28"/>
        </w:rPr>
        <w:t>Committee Name:</w:t>
      </w:r>
      <w:r>
        <w:rPr>
          <w:b/>
          <w:bCs/>
          <w:smallCaps/>
          <w:sz w:val="28"/>
          <w:szCs w:val="28"/>
        </w:rPr>
        <w:t xml:space="preserve"> Faculty Affairs Policy Committee (FAPC)</w:t>
      </w:r>
    </w:p>
    <w:p w:rsidR="00784B38" w:rsidRPr="00B11C50" w:rsidRDefault="00784B38" w:rsidP="00784B38">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Pr>
          <w:b/>
          <w:bCs/>
          <w:smallCaps/>
          <w:sz w:val="28"/>
          <w:szCs w:val="28"/>
        </w:rPr>
        <w:t>8/23/2013, 2:00-3:15 PM</w:t>
      </w:r>
      <w:r w:rsidRPr="00B11C50">
        <w:rPr>
          <w:b/>
          <w:bCs/>
          <w:smallCaps/>
          <w:sz w:val="28"/>
          <w:szCs w:val="28"/>
        </w:rPr>
        <w:t xml:space="preserve"> </w:t>
      </w:r>
    </w:p>
    <w:p w:rsidR="00784B38" w:rsidRPr="00B11C50" w:rsidRDefault="00784B38" w:rsidP="00784B38">
      <w:pPr>
        <w:rPr>
          <w:b/>
          <w:bCs/>
          <w:smallCaps/>
          <w:sz w:val="28"/>
          <w:szCs w:val="28"/>
        </w:rPr>
      </w:pPr>
      <w:r w:rsidRPr="00B11C50">
        <w:rPr>
          <w:b/>
          <w:bCs/>
          <w:smallCaps/>
          <w:sz w:val="28"/>
          <w:szCs w:val="28"/>
        </w:rPr>
        <w:t xml:space="preserve">Meeting Location: </w:t>
      </w:r>
      <w:r>
        <w:rPr>
          <w:b/>
          <w:bCs/>
          <w:smallCaps/>
          <w:sz w:val="28"/>
          <w:szCs w:val="28"/>
        </w:rPr>
        <w:t>A&amp;S 115</w:t>
      </w:r>
    </w:p>
    <w:p w:rsidR="00784B38" w:rsidRPr="00B11C50" w:rsidRDefault="00784B38" w:rsidP="00784B38">
      <w:pPr>
        <w:jc w:val="center"/>
        <w:rPr>
          <w:b/>
          <w:bCs/>
          <w:sz w:val="28"/>
          <w:szCs w:val="28"/>
        </w:rPr>
      </w:pPr>
    </w:p>
    <w:p w:rsidR="00784B38" w:rsidRPr="00750727" w:rsidRDefault="00784B38" w:rsidP="00784B38">
      <w:pPr>
        <w:rPr>
          <w:smallCaps/>
          <w:sz w:val="28"/>
          <w:szCs w:val="28"/>
        </w:rPr>
      </w:pPr>
      <w:r w:rsidRPr="00750727">
        <w:rPr>
          <w:b/>
          <w:bCs/>
          <w:smallCaps/>
          <w:sz w:val="28"/>
          <w:szCs w:val="28"/>
        </w:rPr>
        <w:t>Attendance</w:t>
      </w:r>
      <w:r w:rsidRPr="00750727">
        <w:rPr>
          <w:smallCaps/>
          <w:sz w:val="28"/>
          <w:szCs w:val="28"/>
        </w:rPr>
        <w:t>:</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1"/>
        <w:gridCol w:w="2829"/>
        <w:gridCol w:w="2430"/>
        <w:gridCol w:w="2700"/>
      </w:tblGrid>
      <w:tr w:rsidR="00784B38">
        <w:trPr>
          <w:trHeight w:val="630"/>
        </w:trPr>
        <w:tc>
          <w:tcPr>
            <w:tcW w:w="909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4B38" w:rsidRDefault="00784B38" w:rsidP="00DB2A4C">
            <w:pPr>
              <w:rPr>
                <w:sz w:val="20"/>
              </w:rPr>
            </w:pPr>
          </w:p>
          <w:p w:rsidR="00784B38" w:rsidRPr="00B11C50" w:rsidRDefault="00784B38" w:rsidP="00DB2A4C">
            <w:pPr>
              <w:ind w:right="-4338"/>
              <w:rPr>
                <w:b/>
                <w:sz w:val="28"/>
                <w:szCs w:val="28"/>
              </w:rPr>
            </w:pPr>
            <w:r w:rsidRPr="00750727">
              <w:rPr>
                <w:b/>
                <w:bCs/>
                <w:smallCaps/>
                <w:sz w:val="28"/>
                <w:szCs w:val="28"/>
              </w:rPr>
              <w:t>Members</w:t>
            </w:r>
            <w:r>
              <w:rPr>
                <w:b/>
                <w:sz w:val="28"/>
                <w:szCs w:val="28"/>
              </w:rPr>
              <w:t xml:space="preserve">     “</w:t>
            </w:r>
            <w:r w:rsidRPr="00B11C50">
              <w:rPr>
                <w:b/>
                <w:sz w:val="28"/>
                <w:szCs w:val="28"/>
              </w:rPr>
              <w:t>P</w:t>
            </w:r>
            <w:r>
              <w:rPr>
                <w:b/>
                <w:sz w:val="28"/>
                <w:szCs w:val="28"/>
              </w:rPr>
              <w:t>”</w:t>
            </w:r>
            <w:r w:rsidRPr="00B11C50">
              <w:rPr>
                <w:b/>
                <w:sz w:val="28"/>
                <w:szCs w:val="28"/>
              </w:rPr>
              <w:t xml:space="preserve"> </w:t>
            </w:r>
            <w:r>
              <w:rPr>
                <w:b/>
                <w:sz w:val="28"/>
                <w:szCs w:val="28"/>
              </w:rPr>
              <w:t>= Present</w:t>
            </w:r>
            <w:r w:rsidRPr="00B11C50">
              <w:rPr>
                <w:b/>
                <w:sz w:val="28"/>
                <w:szCs w:val="28"/>
              </w:rPr>
              <w:t xml:space="preserve"> </w:t>
            </w:r>
            <w:r>
              <w:rPr>
                <w:b/>
                <w:sz w:val="28"/>
                <w:szCs w:val="28"/>
              </w:rPr>
              <w:t xml:space="preserve">             “</w:t>
            </w:r>
            <w:r w:rsidRPr="00B11C50">
              <w:rPr>
                <w:b/>
                <w:sz w:val="28"/>
                <w:szCs w:val="28"/>
              </w:rPr>
              <w:t>R</w:t>
            </w:r>
            <w:r>
              <w:rPr>
                <w:b/>
                <w:sz w:val="28"/>
                <w:szCs w:val="28"/>
              </w:rPr>
              <w:t>” =</w:t>
            </w:r>
            <w:r w:rsidRPr="00B11C50">
              <w:rPr>
                <w:b/>
                <w:sz w:val="28"/>
                <w:szCs w:val="28"/>
              </w:rPr>
              <w:t xml:space="preserve"> Regrets</w:t>
            </w:r>
            <w:r>
              <w:rPr>
                <w:b/>
                <w:sz w:val="28"/>
                <w:szCs w:val="28"/>
              </w:rPr>
              <w:t xml:space="preserve">             “A” =</w:t>
            </w:r>
            <w:r w:rsidRPr="00B11C50">
              <w:rPr>
                <w:b/>
                <w:sz w:val="28"/>
                <w:szCs w:val="28"/>
              </w:rPr>
              <w:t xml:space="preserve"> Absen</w:t>
            </w:r>
            <w:r>
              <w:rPr>
                <w:b/>
                <w:sz w:val="28"/>
                <w:szCs w:val="28"/>
              </w:rPr>
              <w:t>t</w:t>
            </w:r>
            <w:r w:rsidRPr="00B11C50">
              <w:rPr>
                <w:b/>
                <w:sz w:val="28"/>
                <w:szCs w:val="28"/>
              </w:rPr>
              <w:t xml:space="preserve">   </w:t>
            </w:r>
          </w:p>
        </w:tc>
      </w:tr>
      <w:tr w:rsidR="00784B38">
        <w:trPr>
          <w:trHeight w:val="243"/>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Pr>
                <w:b/>
                <w:sz w:val="28"/>
                <w:szCs w:val="28"/>
              </w:rPr>
              <w:t xml:space="preserve">               </w:t>
            </w:r>
            <w:r w:rsidRPr="00B11C50">
              <w:rPr>
                <w:b/>
                <w:sz w:val="28"/>
                <w:szCs w:val="28"/>
              </w:rPr>
              <w:t>P</w:t>
            </w:r>
          </w:p>
        </w:tc>
        <w:tc>
          <w:tcPr>
            <w:tcW w:w="2430" w:type="dxa"/>
            <w:vAlign w:val="center"/>
          </w:tcPr>
          <w:p w:rsidR="00784B38" w:rsidRPr="000507F8" w:rsidRDefault="00784B38" w:rsidP="00DB2A4C">
            <w:pPr>
              <w:rPr>
                <w:sz w:val="36"/>
                <w:szCs w:val="36"/>
              </w:rPr>
            </w:pPr>
            <w:r>
              <w:rPr>
                <w:b/>
                <w:sz w:val="28"/>
                <w:szCs w:val="28"/>
              </w:rPr>
              <w:t xml:space="preserve">               </w:t>
            </w:r>
            <w:r w:rsidRPr="00B11C50">
              <w:rPr>
                <w:b/>
                <w:sz w:val="28"/>
                <w:szCs w:val="28"/>
              </w:rPr>
              <w:t>R</w:t>
            </w:r>
          </w:p>
        </w:tc>
        <w:tc>
          <w:tcPr>
            <w:tcW w:w="2700" w:type="dxa"/>
            <w:vAlign w:val="center"/>
          </w:tcPr>
          <w:p w:rsidR="00784B38" w:rsidRPr="000F4925" w:rsidRDefault="00784B38" w:rsidP="00DB2A4C">
            <w:r>
              <w:rPr>
                <w:b/>
                <w:sz w:val="28"/>
                <w:szCs w:val="28"/>
              </w:rPr>
              <w:t xml:space="preserve">              A</w:t>
            </w:r>
          </w:p>
        </w:tc>
      </w:tr>
      <w:tr w:rsidR="00784B38">
        <w:trPr>
          <w:trHeight w:val="243"/>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Broyles, Beth</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r w:rsidRPr="00281938">
              <w:rPr>
                <w:rFonts w:ascii="Arial" w:hAnsi="Arial"/>
                <w:sz w:val="20"/>
                <w:szCs w:val="20"/>
              </w:rPr>
              <w:t>Crowe, Lora</w:t>
            </w:r>
          </w:p>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Blazer, Alex</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r w:rsidRPr="00281938">
              <w:rPr>
                <w:rFonts w:ascii="Arial" w:hAnsi="Arial"/>
                <w:sz w:val="20"/>
                <w:szCs w:val="20"/>
              </w:rPr>
              <w:t>Goings, Doug</w:t>
            </w:r>
          </w:p>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Fisher, Bill</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r w:rsidRPr="00281938">
              <w:rPr>
                <w:rFonts w:ascii="Arial" w:hAnsi="Arial"/>
                <w:sz w:val="20"/>
                <w:szCs w:val="20"/>
              </w:rPr>
              <w:t>Roessing, Matt</w:t>
            </w:r>
          </w:p>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Jones, Steve</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Metzker, Julia</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Mizelle, Nancy</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center"/>
          </w:tcPr>
          <w:p w:rsidR="00784B38" w:rsidRPr="00281938" w:rsidRDefault="00784B38" w:rsidP="00DB2A4C">
            <w:pPr>
              <w:rPr>
                <w:rFonts w:ascii="Arial" w:hAnsi="Arial"/>
                <w:sz w:val="20"/>
                <w:szCs w:val="20"/>
              </w:rPr>
            </w:pPr>
            <w:r w:rsidRPr="00281938">
              <w:rPr>
                <w:rFonts w:ascii="Arial" w:hAnsi="Arial"/>
                <w:sz w:val="20"/>
                <w:szCs w:val="20"/>
              </w:rPr>
              <w:t>Roberts, Holley</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center"/>
          </w:tcPr>
          <w:p w:rsidR="00784B38" w:rsidRPr="00281938" w:rsidRDefault="00784B38" w:rsidP="00DB2A4C">
            <w:pPr>
              <w:rPr>
                <w:rFonts w:ascii="Arial" w:hAnsi="Arial"/>
                <w:sz w:val="20"/>
                <w:szCs w:val="20"/>
              </w:rPr>
            </w:pPr>
            <w:r w:rsidRPr="00281938">
              <w:rPr>
                <w:rFonts w:ascii="Arial" w:hAnsi="Arial"/>
                <w:sz w:val="20"/>
                <w:szCs w:val="20"/>
              </w:rPr>
              <w:t>Rose, Mike</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bottom"/>
          </w:tcPr>
          <w:p w:rsidR="00784B38" w:rsidRPr="00281938" w:rsidRDefault="00784B38" w:rsidP="00DB2A4C">
            <w:pPr>
              <w:rPr>
                <w:rFonts w:ascii="Times" w:hAnsi="Times"/>
                <w:sz w:val="20"/>
                <w:szCs w:val="20"/>
              </w:rPr>
            </w:pPr>
            <w:r w:rsidRPr="00281938">
              <w:rPr>
                <w:rFonts w:ascii="Arial" w:hAnsi="Arial"/>
                <w:sz w:val="20"/>
                <w:szCs w:val="20"/>
              </w:rPr>
              <w:t>Sapp, Carol</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bottom"/>
          </w:tcPr>
          <w:p w:rsidR="00784B38" w:rsidRPr="00281938" w:rsidRDefault="00784B38" w:rsidP="00DB2A4C">
            <w:pPr>
              <w:rPr>
                <w:rFonts w:ascii="Arial" w:hAnsi="Arial"/>
                <w:sz w:val="20"/>
                <w:szCs w:val="20"/>
              </w:rPr>
            </w:pPr>
            <w:r>
              <w:rPr>
                <w:rFonts w:ascii="Arial" w:hAnsi="Arial"/>
                <w:sz w:val="20"/>
                <w:szCs w:val="20"/>
              </w:rPr>
              <w:t>Toney, Tom</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494"/>
        </w:trPr>
        <w:tc>
          <w:tcPr>
            <w:tcW w:w="1131" w:type="dxa"/>
            <w:tcBorders>
              <w:top w:val="thinThickSmallGap" w:sz="24" w:space="0" w:color="auto"/>
              <w:left w:val="thinThickSmallGap" w:sz="24" w:space="0" w:color="auto"/>
              <w:right w:val="thinThickSmallGap" w:sz="24" w:space="0" w:color="auto"/>
            </w:tcBorders>
            <w:vAlign w:val="bottom"/>
          </w:tcPr>
          <w:p w:rsidR="00784B38" w:rsidRPr="00750727" w:rsidRDefault="00784B38" w:rsidP="00DB2A4C">
            <w:pPr>
              <w:pStyle w:val="Heading1"/>
              <w:rPr>
                <w:smallCaps/>
              </w:rPr>
            </w:pPr>
            <w:r w:rsidRPr="00750727">
              <w:rPr>
                <w:smallCaps/>
                <w:sz w:val="28"/>
                <w:szCs w:val="28"/>
              </w:rPr>
              <w:t>Guests</w:t>
            </w:r>
          </w:p>
        </w:tc>
        <w:tc>
          <w:tcPr>
            <w:tcW w:w="2829" w:type="dxa"/>
          </w:tcPr>
          <w:p w:rsidR="00784B38" w:rsidRPr="000F4925" w:rsidRDefault="00784B38" w:rsidP="00DB2A4C"/>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6"/>
        </w:trPr>
        <w:tc>
          <w:tcPr>
            <w:tcW w:w="1131" w:type="dxa"/>
            <w:tcBorders>
              <w:top w:val="thinThickSmallGap" w:sz="24" w:space="0" w:color="auto"/>
              <w:left w:val="thinThickSmallGap" w:sz="24" w:space="0" w:color="auto"/>
              <w:right w:val="thinThickSmallGap" w:sz="24" w:space="0" w:color="auto"/>
            </w:tcBorders>
            <w:vAlign w:val="bottom"/>
          </w:tcPr>
          <w:p w:rsidR="00784B38" w:rsidRPr="00750727" w:rsidRDefault="00784B38" w:rsidP="00DB2A4C">
            <w:pPr>
              <w:pStyle w:val="Heading1"/>
              <w:rPr>
                <w:smallCaps/>
                <w:sz w:val="28"/>
                <w:szCs w:val="28"/>
              </w:rPr>
            </w:pPr>
          </w:p>
        </w:tc>
        <w:tc>
          <w:tcPr>
            <w:tcW w:w="2829" w:type="dxa"/>
          </w:tcPr>
          <w:p w:rsidR="00784B38" w:rsidRPr="000F4925" w:rsidRDefault="00784B38" w:rsidP="00DB2A4C"/>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386"/>
        </w:trPr>
        <w:tc>
          <w:tcPr>
            <w:tcW w:w="9090" w:type="dxa"/>
            <w:gridSpan w:val="4"/>
            <w:tcBorders>
              <w:top w:val="thinThickSmallGap" w:sz="24" w:space="0" w:color="auto"/>
            </w:tcBorders>
          </w:tcPr>
          <w:p w:rsidR="00784B38" w:rsidRDefault="00784B38" w:rsidP="00DB2A4C">
            <w:pPr>
              <w:jc w:val="center"/>
              <w:rPr>
                <w:sz w:val="20"/>
              </w:rPr>
            </w:pPr>
          </w:p>
        </w:tc>
      </w:tr>
    </w:tbl>
    <w:p w:rsidR="00784B38" w:rsidRDefault="00784B38" w:rsidP="00784B38">
      <w:pPr>
        <w:rPr>
          <w:sz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784B38">
        <w:tc>
          <w:tcPr>
            <w:tcW w:w="10440" w:type="dxa"/>
          </w:tcPr>
          <w:p w:rsidR="00784B38" w:rsidRDefault="00784B38" w:rsidP="00DB2A4C">
            <w:pPr>
              <w:pStyle w:val="Heading1"/>
              <w:rPr>
                <w:smallCaps/>
                <w:sz w:val="28"/>
                <w:szCs w:val="28"/>
              </w:rPr>
            </w:pPr>
            <w:r w:rsidRPr="00DC0B9E">
              <w:rPr>
                <w:sz w:val="28"/>
                <w:szCs w:val="28"/>
              </w:rPr>
              <w:t xml:space="preserve">     </w:t>
            </w:r>
            <w:r w:rsidRPr="00750727">
              <w:rPr>
                <w:smallCaps/>
                <w:sz w:val="28"/>
                <w:szCs w:val="28"/>
              </w:rPr>
              <w:t xml:space="preserve">Agenda Topic </w:t>
            </w:r>
          </w:p>
          <w:p w:rsidR="00784B38" w:rsidRPr="003E4149" w:rsidRDefault="00784B38" w:rsidP="00DB2A4C">
            <w:pPr>
              <w:rPr>
                <w:sz w:val="20"/>
                <w:szCs w:val="20"/>
              </w:rPr>
            </w:pPr>
          </w:p>
        </w:tc>
      </w:tr>
      <w:tr w:rsidR="00784B38">
        <w:trPr>
          <w:trHeight w:val="710"/>
        </w:trPr>
        <w:tc>
          <w:tcPr>
            <w:tcW w:w="10440" w:type="dxa"/>
          </w:tcPr>
          <w:p w:rsidR="00784B38" w:rsidRDefault="00784B38" w:rsidP="00DB2A4C">
            <w:pPr>
              <w:rPr>
                <w:sz w:val="20"/>
              </w:rPr>
            </w:pPr>
            <w:r>
              <w:rPr>
                <w:b/>
                <w:bCs/>
                <w:sz w:val="20"/>
              </w:rPr>
              <w:t>I. Call to order</w:t>
            </w:r>
          </w:p>
          <w:p w:rsidR="00784B38" w:rsidRDefault="00784B38" w:rsidP="00DB2A4C">
            <w:pPr>
              <w:rPr>
                <w:sz w:val="20"/>
              </w:rPr>
            </w:pPr>
          </w:p>
          <w:p w:rsidR="00784B38" w:rsidRDefault="00784B38" w:rsidP="00DB2A4C">
            <w:pPr>
              <w:rPr>
                <w:sz w:val="20"/>
              </w:rPr>
            </w:pPr>
            <w:r>
              <w:rPr>
                <w:sz w:val="20"/>
              </w:rPr>
              <w:t>2:00 PM</w:t>
            </w:r>
          </w:p>
          <w:p w:rsidR="00784B38" w:rsidRDefault="00784B38" w:rsidP="00DB2A4C">
            <w:pPr>
              <w:rPr>
                <w:sz w:val="20"/>
              </w:rPr>
            </w:pPr>
          </w:p>
        </w:tc>
      </w:tr>
      <w:tr w:rsidR="00784B38">
        <w:trPr>
          <w:trHeight w:val="593"/>
        </w:trPr>
        <w:tc>
          <w:tcPr>
            <w:tcW w:w="10440" w:type="dxa"/>
          </w:tcPr>
          <w:p w:rsidR="00784B38" w:rsidRDefault="00784B38" w:rsidP="00DB2A4C">
            <w:pPr>
              <w:rPr>
                <w:b/>
                <w:bCs/>
                <w:sz w:val="20"/>
              </w:rPr>
            </w:pPr>
            <w:r>
              <w:rPr>
                <w:b/>
                <w:bCs/>
                <w:sz w:val="20"/>
              </w:rPr>
              <w:t>II.  Approval of Agenda</w:t>
            </w:r>
          </w:p>
          <w:p w:rsidR="00784B38" w:rsidRDefault="00784B38" w:rsidP="00DB2A4C">
            <w:pPr>
              <w:rPr>
                <w:bCs/>
                <w:sz w:val="20"/>
              </w:rPr>
            </w:pPr>
          </w:p>
          <w:p w:rsidR="00784B38" w:rsidRDefault="00784B38" w:rsidP="00DB2A4C">
            <w:pPr>
              <w:rPr>
                <w:bCs/>
                <w:sz w:val="20"/>
              </w:rPr>
            </w:pPr>
            <w:r>
              <w:rPr>
                <w:bCs/>
                <w:sz w:val="20"/>
              </w:rPr>
              <w:t>Discussion &amp; Conclusions: none</w:t>
            </w:r>
          </w:p>
          <w:p w:rsidR="00784B38" w:rsidRDefault="00784B38" w:rsidP="00DB2A4C">
            <w:pPr>
              <w:rPr>
                <w:bCs/>
                <w:sz w:val="20"/>
              </w:rPr>
            </w:pPr>
          </w:p>
          <w:p w:rsidR="00784B38" w:rsidRDefault="00784B38" w:rsidP="00DB2A4C">
            <w:pPr>
              <w:rPr>
                <w:bCs/>
                <w:sz w:val="20"/>
              </w:rPr>
            </w:pPr>
            <w:r>
              <w:rPr>
                <w:bCs/>
                <w:sz w:val="20"/>
              </w:rPr>
              <w:t>Action or Recommendations: Approved unanimously</w:t>
            </w:r>
          </w:p>
          <w:p w:rsidR="00784B38" w:rsidRDefault="00784B38" w:rsidP="00DB2A4C">
            <w:pPr>
              <w:rPr>
                <w:bCs/>
                <w:sz w:val="20"/>
              </w:rPr>
            </w:pPr>
          </w:p>
          <w:p w:rsidR="00784B38" w:rsidRPr="00443E2F" w:rsidRDefault="00784B38" w:rsidP="00DB2A4C">
            <w:pPr>
              <w:rPr>
                <w:bCs/>
                <w:sz w:val="20"/>
              </w:rPr>
            </w:pPr>
            <w:r>
              <w:rPr>
                <w:bCs/>
                <w:sz w:val="20"/>
              </w:rPr>
              <w:t>Follow-Up: none</w:t>
            </w:r>
          </w:p>
          <w:p w:rsidR="00784B38" w:rsidRDefault="00784B38" w:rsidP="00DB2A4C">
            <w:pPr>
              <w:rPr>
                <w:b/>
                <w:bCs/>
                <w:sz w:val="20"/>
              </w:rPr>
            </w:pPr>
          </w:p>
        </w:tc>
      </w:tr>
      <w:tr w:rsidR="00784B38">
        <w:trPr>
          <w:trHeight w:val="593"/>
        </w:trPr>
        <w:tc>
          <w:tcPr>
            <w:tcW w:w="10440" w:type="dxa"/>
          </w:tcPr>
          <w:p w:rsidR="00784B38" w:rsidRDefault="00784B38" w:rsidP="00DB2A4C">
            <w:pPr>
              <w:rPr>
                <w:b/>
                <w:bCs/>
                <w:sz w:val="20"/>
              </w:rPr>
            </w:pPr>
            <w:r>
              <w:rPr>
                <w:b/>
                <w:bCs/>
                <w:sz w:val="20"/>
              </w:rPr>
              <w:t>III. Approval of Operating Procedures and Meeting Place</w:t>
            </w:r>
          </w:p>
          <w:p w:rsidR="00784B38" w:rsidRDefault="00784B38" w:rsidP="00DB2A4C">
            <w:pPr>
              <w:rPr>
                <w:bCs/>
                <w:sz w:val="20"/>
              </w:rPr>
            </w:pPr>
          </w:p>
          <w:p w:rsidR="00784B38" w:rsidRDefault="00784B38" w:rsidP="00DB2A4C">
            <w:pPr>
              <w:rPr>
                <w:bCs/>
                <w:sz w:val="20"/>
              </w:rPr>
            </w:pPr>
            <w:r>
              <w:rPr>
                <w:bCs/>
                <w:sz w:val="20"/>
              </w:rPr>
              <w:t>Discussion &amp; Conclusions: none</w:t>
            </w:r>
          </w:p>
          <w:p w:rsidR="00784B38" w:rsidRDefault="00784B38" w:rsidP="00DB2A4C">
            <w:pPr>
              <w:rPr>
                <w:bCs/>
                <w:sz w:val="20"/>
              </w:rPr>
            </w:pPr>
          </w:p>
          <w:p w:rsidR="00784B38" w:rsidRDefault="00784B38" w:rsidP="00DB2A4C">
            <w:pPr>
              <w:rPr>
                <w:bCs/>
                <w:sz w:val="20"/>
              </w:rPr>
            </w:pPr>
            <w:r>
              <w:rPr>
                <w:bCs/>
                <w:sz w:val="20"/>
              </w:rPr>
              <w:t>Action or Recommendations: Approved unanimously</w:t>
            </w:r>
          </w:p>
          <w:p w:rsidR="00784B38" w:rsidRDefault="00784B38" w:rsidP="00DB2A4C">
            <w:pPr>
              <w:rPr>
                <w:bCs/>
                <w:sz w:val="20"/>
              </w:rPr>
            </w:pPr>
          </w:p>
          <w:p w:rsidR="00784B38" w:rsidRDefault="00784B38" w:rsidP="00DB2A4C">
            <w:pPr>
              <w:rPr>
                <w:bCs/>
                <w:sz w:val="20"/>
              </w:rPr>
            </w:pPr>
            <w:r>
              <w:rPr>
                <w:bCs/>
                <w:sz w:val="20"/>
              </w:rPr>
              <w:t>Follow-up: none</w:t>
            </w:r>
          </w:p>
          <w:p w:rsidR="00784B38" w:rsidRPr="0089009A" w:rsidRDefault="00784B38" w:rsidP="00DB2A4C">
            <w:pPr>
              <w:rPr>
                <w:bCs/>
                <w:sz w:val="20"/>
              </w:rPr>
            </w:pPr>
          </w:p>
        </w:tc>
      </w:tr>
      <w:tr w:rsidR="00784B38">
        <w:trPr>
          <w:trHeight w:val="593"/>
        </w:trPr>
        <w:tc>
          <w:tcPr>
            <w:tcW w:w="10440" w:type="dxa"/>
          </w:tcPr>
          <w:p w:rsidR="00784B38" w:rsidRDefault="00784B38" w:rsidP="00DB2A4C">
            <w:pPr>
              <w:rPr>
                <w:b/>
                <w:bCs/>
                <w:sz w:val="20"/>
              </w:rPr>
            </w:pPr>
            <w:r>
              <w:rPr>
                <w:b/>
                <w:bCs/>
                <w:sz w:val="20"/>
              </w:rPr>
              <w:t>IV. Information Items</w:t>
            </w:r>
          </w:p>
        </w:tc>
      </w:tr>
      <w:tr w:rsidR="00784B38">
        <w:trPr>
          <w:trHeight w:val="593"/>
        </w:trPr>
        <w:tc>
          <w:tcPr>
            <w:tcW w:w="10440" w:type="dxa"/>
          </w:tcPr>
          <w:p w:rsidR="00784B38" w:rsidRDefault="00784B38" w:rsidP="00784B38">
            <w:pPr>
              <w:pStyle w:val="ListParagraph"/>
              <w:numPr>
                <w:ilvl w:val="0"/>
                <w:numId w:val="1"/>
              </w:numPr>
              <w:rPr>
                <w:b/>
                <w:bCs/>
                <w:sz w:val="20"/>
              </w:rPr>
            </w:pPr>
            <w:r w:rsidRPr="009F0B3C">
              <w:rPr>
                <w:b/>
                <w:bCs/>
                <w:sz w:val="20"/>
              </w:rPr>
              <w:t>Faculty input on faculty evaluation</w:t>
            </w:r>
          </w:p>
          <w:p w:rsidR="00784B38" w:rsidRDefault="00784B38" w:rsidP="00DB2A4C">
            <w:pPr>
              <w:rPr>
                <w:sz w:val="20"/>
              </w:rPr>
            </w:pPr>
          </w:p>
          <w:p w:rsidR="00784B38" w:rsidRPr="00A804A0" w:rsidRDefault="00784B38" w:rsidP="00DB2A4C">
            <w:pPr>
              <w:rPr>
                <w:sz w:val="20"/>
              </w:rPr>
            </w:pPr>
            <w:r>
              <w:rPr>
                <w:sz w:val="20"/>
              </w:rPr>
              <w:t xml:space="preserve">Discussions &amp; Conclusions: Committee discussed procedure vs. policy implementation and reviewed the following report: </w:t>
            </w:r>
          </w:p>
          <w:p w:rsidR="00784B38" w:rsidRDefault="00784B38" w:rsidP="00DB2A4C">
            <w:pPr>
              <w:rPr>
                <w:sz w:val="20"/>
              </w:rPr>
            </w:pPr>
          </w:p>
          <w:p w:rsidR="00784B38" w:rsidRPr="00A804A0" w:rsidRDefault="00784B38" w:rsidP="00DB2A4C">
            <w:pPr>
              <w:rPr>
                <w:sz w:val="20"/>
              </w:rPr>
            </w:pPr>
            <w:r w:rsidRPr="00A804A0">
              <w:rPr>
                <w:sz w:val="20"/>
              </w:rPr>
              <w:t>Faculty Affairs Policy Committee</w:t>
            </w:r>
          </w:p>
          <w:p w:rsidR="00784B38" w:rsidRPr="00A804A0" w:rsidRDefault="00784B38" w:rsidP="00DB2A4C">
            <w:pPr>
              <w:rPr>
                <w:sz w:val="20"/>
              </w:rPr>
            </w:pPr>
            <w:r w:rsidRPr="00A804A0">
              <w:rPr>
                <w:sz w:val="20"/>
              </w:rPr>
              <w:t>Friday, April 19, 2013</w:t>
            </w:r>
          </w:p>
          <w:p w:rsidR="00784B38" w:rsidRPr="00A804A0" w:rsidRDefault="00784B38" w:rsidP="00DB2A4C">
            <w:pPr>
              <w:rPr>
                <w:sz w:val="20"/>
              </w:rPr>
            </w:pPr>
            <w:r w:rsidRPr="00A804A0">
              <w:rPr>
                <w:sz w:val="20"/>
              </w:rPr>
              <w:t>Arts &amp; Science 272</w:t>
            </w:r>
          </w:p>
          <w:p w:rsidR="00784B38" w:rsidRPr="00A804A0" w:rsidRDefault="00784B38" w:rsidP="00DB2A4C">
            <w:pPr>
              <w:rPr>
                <w:sz w:val="20"/>
              </w:rPr>
            </w:pPr>
            <w:r w:rsidRPr="00A804A0">
              <w:rPr>
                <w:sz w:val="20"/>
              </w:rPr>
              <w:t>Presented by Alex Blazer substituting for Chair Leslie Moore</w:t>
            </w:r>
          </w:p>
          <w:p w:rsidR="00784B38" w:rsidRPr="00A804A0" w:rsidRDefault="00784B38" w:rsidP="00784B38">
            <w:pPr>
              <w:pStyle w:val="ListParagraph"/>
              <w:numPr>
                <w:ilvl w:val="0"/>
                <w:numId w:val="2"/>
              </w:numPr>
              <w:spacing w:after="200" w:line="276" w:lineRule="auto"/>
              <w:rPr>
                <w:sz w:val="20"/>
              </w:rPr>
            </w:pPr>
            <w:r w:rsidRPr="00A804A0">
              <w:rPr>
                <w:sz w:val="20"/>
              </w:rPr>
              <w:t>FAPC continues to work on the post-tenure review policy.</w:t>
            </w:r>
          </w:p>
          <w:p w:rsidR="00784B38" w:rsidRDefault="00784B38" w:rsidP="00784B38">
            <w:pPr>
              <w:pStyle w:val="ListParagraph"/>
              <w:numPr>
                <w:ilvl w:val="0"/>
                <w:numId w:val="2"/>
              </w:numPr>
              <w:spacing w:after="200" w:line="276" w:lineRule="auto"/>
              <w:rPr>
                <w:sz w:val="20"/>
              </w:rPr>
            </w:pPr>
            <w:r w:rsidRPr="00A804A0">
              <w:rPr>
                <w:sz w:val="20"/>
              </w:rPr>
              <w:t xml:space="preserve">FAPC approved the following resolution on faculty evaluation to be reported to University Senate: </w:t>
            </w:r>
            <w:r w:rsidRPr="00A804A0">
              <w:rPr>
                <w:sz w:val="20"/>
              </w:rPr>
              <w:br/>
              <w:t xml:space="preserve">Given that the tasks to be performed at Georgia College are complex and diverse such that interdependence among administration, faculty, and others is necessary, and </w:t>
            </w:r>
            <w:r>
              <w:rPr>
                <w:sz w:val="20"/>
              </w:rPr>
              <w:t>t</w:t>
            </w:r>
            <w:r w:rsidRPr="00A804A0">
              <w:rPr>
                <w:sz w:val="20"/>
              </w:rPr>
              <w:t>hat the ideal form of governance in the academy is shared decision-making, and</w:t>
            </w:r>
            <w:r>
              <w:rPr>
                <w:sz w:val="20"/>
              </w:rPr>
              <w:t xml:space="preserve"> t</w:t>
            </w:r>
            <w:r w:rsidRPr="00A804A0">
              <w:rPr>
                <w:sz w:val="20"/>
              </w:rPr>
              <w:t>hat where this ideal can be attained it should be pursued, and</w:t>
            </w:r>
            <w:r>
              <w:rPr>
                <w:sz w:val="20"/>
              </w:rPr>
              <w:t xml:space="preserve"> t</w:t>
            </w:r>
            <w:r w:rsidRPr="00A804A0">
              <w:rPr>
                <w:sz w:val="20"/>
              </w:rPr>
              <w:t xml:space="preserve">hat faculty evaluation is essential for decisions regarding tenure, promotion, and salary, and </w:t>
            </w:r>
            <w:r>
              <w:rPr>
                <w:sz w:val="20"/>
              </w:rPr>
              <w:t>t</w:t>
            </w:r>
            <w:r w:rsidRPr="00A804A0">
              <w:rPr>
                <w:sz w:val="20"/>
              </w:rPr>
              <w:t>hat these areas regarding faculty status (decisions regarding tenure, promotion, and salary) are among the issues for which faculty have primacy, then</w:t>
            </w:r>
            <w:r>
              <w:rPr>
                <w:sz w:val="20"/>
              </w:rPr>
              <w:t xml:space="preserve"> a</w:t>
            </w:r>
            <w:r w:rsidRPr="00A804A0">
              <w:rPr>
                <w:sz w:val="20"/>
              </w:rPr>
              <w:t>cademic-year faculty shall actively participate in the determination and modification of policies governing faculty evaluation including sharing responsibility with administrators for informing the development and review of the policies, procedures, and practices appertaining, including decisions regarding the stated and definite criteria used to assess or evaluate faculty performance.</w:t>
            </w:r>
          </w:p>
          <w:p w:rsidR="00784B38" w:rsidRDefault="00784B38" w:rsidP="00DB2A4C">
            <w:pPr>
              <w:spacing w:after="200" w:line="276" w:lineRule="auto"/>
              <w:rPr>
                <w:sz w:val="20"/>
              </w:rPr>
            </w:pPr>
            <w:r>
              <w:rPr>
                <w:sz w:val="20"/>
              </w:rPr>
              <w:t>Action or Recommendations: none</w:t>
            </w:r>
          </w:p>
          <w:p w:rsidR="00784B38" w:rsidRPr="00F5610A" w:rsidRDefault="00784B38" w:rsidP="00DB2A4C">
            <w:pPr>
              <w:spacing w:after="200" w:line="276" w:lineRule="auto"/>
              <w:rPr>
                <w:sz w:val="20"/>
              </w:rPr>
            </w:pPr>
            <w:r>
              <w:rPr>
                <w:sz w:val="20"/>
              </w:rPr>
              <w:t>Follow-Up: none</w:t>
            </w:r>
          </w:p>
          <w:p w:rsidR="00784B38" w:rsidRDefault="00784B38" w:rsidP="00784B38">
            <w:pPr>
              <w:pStyle w:val="ListParagraph"/>
              <w:numPr>
                <w:ilvl w:val="0"/>
                <w:numId w:val="1"/>
              </w:numPr>
              <w:rPr>
                <w:b/>
                <w:bCs/>
                <w:sz w:val="20"/>
              </w:rPr>
            </w:pPr>
            <w:r>
              <w:rPr>
                <w:b/>
                <w:bCs/>
                <w:sz w:val="20"/>
              </w:rPr>
              <w:t>College of Education Bylaws change</w:t>
            </w:r>
          </w:p>
          <w:p w:rsidR="00784B38" w:rsidRDefault="00784B38" w:rsidP="00DB2A4C">
            <w:pPr>
              <w:rPr>
                <w:b/>
                <w:bCs/>
                <w:sz w:val="20"/>
              </w:rPr>
            </w:pPr>
          </w:p>
          <w:p w:rsidR="00784B38" w:rsidRDefault="00784B38" w:rsidP="00DB2A4C">
            <w:pPr>
              <w:rPr>
                <w:sz w:val="20"/>
              </w:rPr>
            </w:pPr>
            <w:r>
              <w:rPr>
                <w:sz w:val="20"/>
              </w:rPr>
              <w:t>Discussions &amp; Conclusions: Committee discussed concerns raised from outside of committee on restructuring of College of Education and post-hoc changing of bylaws to reflect de facto changes to the CoE.  Some CoE faculty felt they had little/no voice in initiating discussion or making decisions related to dissolving three existing departments or other aspects of restructuring.  Committee felt existing CoE bylaws were violated, and bylaws should be restructured with faculty input before other restructuring commences.  Some CoE faculty may have been adversely/unfairly affected by administrative decisions, committee raised questions as to possible adverse effects on students due to CoE restructuring.</w:t>
            </w:r>
          </w:p>
          <w:p w:rsidR="00784B38" w:rsidRDefault="00784B38" w:rsidP="00DB2A4C">
            <w:pPr>
              <w:rPr>
                <w:sz w:val="20"/>
              </w:rPr>
            </w:pPr>
          </w:p>
          <w:p w:rsidR="00784B38" w:rsidRDefault="00784B38" w:rsidP="00DB2A4C">
            <w:pPr>
              <w:rPr>
                <w:sz w:val="20"/>
              </w:rPr>
            </w:pPr>
            <w:r>
              <w:rPr>
                <w:sz w:val="20"/>
              </w:rPr>
              <w:t>Action or Recommendations: CoE Faculty concerns over this issue may be limited.  Committee  believes this may be a college/departmental issue and recommends faculty follow grievance procedures (follow up with Dean and Provost).</w:t>
            </w:r>
          </w:p>
          <w:p w:rsidR="00784B38" w:rsidRDefault="00784B38" w:rsidP="00DB2A4C">
            <w:pPr>
              <w:rPr>
                <w:sz w:val="20"/>
              </w:rPr>
            </w:pPr>
          </w:p>
          <w:p w:rsidR="00784B38" w:rsidRDefault="00784B38" w:rsidP="00DB2A4C">
            <w:pPr>
              <w:spacing w:after="200" w:line="276" w:lineRule="auto"/>
              <w:rPr>
                <w:sz w:val="20"/>
              </w:rPr>
            </w:pPr>
            <w:r>
              <w:rPr>
                <w:sz w:val="20"/>
              </w:rPr>
              <w:t xml:space="preserve">Follow-Up: 1. </w:t>
            </w:r>
            <w:r w:rsidRPr="00047834">
              <w:rPr>
                <w:sz w:val="20"/>
              </w:rPr>
              <w:t xml:space="preserve">Committee Chair will review BOR Guidelines reviewing adherence to college bylaws, restructuring of programs, administrative vs. faculty decision-making authority in such cases, etc. </w:t>
            </w:r>
            <w:r>
              <w:rPr>
                <w:sz w:val="20"/>
              </w:rPr>
              <w:t xml:space="preserve">  </w:t>
            </w:r>
          </w:p>
          <w:p w:rsidR="00784B38" w:rsidRPr="00253DF1" w:rsidRDefault="00784B38" w:rsidP="00DB2A4C">
            <w:pPr>
              <w:spacing w:after="200" w:line="276" w:lineRule="auto"/>
              <w:rPr>
                <w:sz w:val="20"/>
              </w:rPr>
            </w:pPr>
            <w:r>
              <w:rPr>
                <w:sz w:val="20"/>
              </w:rPr>
              <w:t>2. FAPC will monitor progress of CoE restructuring as outlined in bylaws revision document titled, “Proposal, Ad Hoc Committee, Purpose: Restructure Committees within the College of Education.”  Document timeline includes 09/06/13 and 10/18/13 as primary benchmarks.</w:t>
            </w:r>
          </w:p>
        </w:tc>
      </w:tr>
      <w:tr w:rsidR="00784B38">
        <w:trPr>
          <w:trHeight w:val="540"/>
        </w:trPr>
        <w:tc>
          <w:tcPr>
            <w:tcW w:w="10440" w:type="dxa"/>
            <w:tcBorders>
              <w:left w:val="double" w:sz="4" w:space="0" w:color="auto"/>
            </w:tcBorders>
          </w:tcPr>
          <w:p w:rsidR="00784B38" w:rsidRDefault="00784B38" w:rsidP="00DB2A4C">
            <w:pPr>
              <w:tabs>
                <w:tab w:val="left" w:pos="0"/>
              </w:tabs>
              <w:rPr>
                <w:b/>
                <w:bCs/>
                <w:sz w:val="20"/>
              </w:rPr>
            </w:pPr>
            <w:r>
              <w:rPr>
                <w:b/>
                <w:bCs/>
                <w:sz w:val="20"/>
              </w:rPr>
              <w:t>IV. Old Business/Review of</w:t>
            </w:r>
          </w:p>
          <w:p w:rsidR="00784B38" w:rsidRDefault="00784B38" w:rsidP="00DB2A4C">
            <w:pPr>
              <w:tabs>
                <w:tab w:val="left" w:pos="0"/>
              </w:tabs>
              <w:rPr>
                <w:b/>
                <w:bCs/>
                <w:sz w:val="20"/>
              </w:rPr>
            </w:pPr>
            <w:r>
              <w:rPr>
                <w:b/>
                <w:bCs/>
                <w:sz w:val="20"/>
              </w:rPr>
              <w:t>Actions/Recommendations</w:t>
            </w:r>
          </w:p>
          <w:p w:rsidR="00784B38" w:rsidRDefault="00784B38" w:rsidP="00DB2A4C">
            <w:pPr>
              <w:tabs>
                <w:tab w:val="left" w:pos="0"/>
              </w:tabs>
              <w:rPr>
                <w:sz w:val="20"/>
              </w:rPr>
            </w:pPr>
          </w:p>
        </w:tc>
      </w:tr>
      <w:tr w:rsidR="00784B38">
        <w:trPr>
          <w:trHeight w:val="503"/>
        </w:trPr>
        <w:tc>
          <w:tcPr>
            <w:tcW w:w="10440" w:type="dxa"/>
            <w:tcBorders>
              <w:left w:val="double" w:sz="4" w:space="0" w:color="auto"/>
            </w:tcBorders>
          </w:tcPr>
          <w:p w:rsidR="00784B38" w:rsidRDefault="00784B38" w:rsidP="00DB2A4C">
            <w:pPr>
              <w:rPr>
                <w:b/>
                <w:bCs/>
                <w:sz w:val="20"/>
              </w:rPr>
            </w:pPr>
            <w:r>
              <w:rPr>
                <w:b/>
                <w:bCs/>
                <w:sz w:val="20"/>
              </w:rPr>
              <w:t>1. Post-Tenure Review</w:t>
            </w:r>
          </w:p>
          <w:p w:rsidR="00784B38" w:rsidRDefault="00784B38" w:rsidP="00DB2A4C">
            <w:pPr>
              <w:rPr>
                <w:b/>
                <w:bCs/>
                <w:sz w:val="20"/>
              </w:rPr>
            </w:pPr>
          </w:p>
          <w:p w:rsidR="00784B38" w:rsidRDefault="00784B38" w:rsidP="00DB2A4C">
            <w:pPr>
              <w:rPr>
                <w:sz w:val="20"/>
                <w:szCs w:val="20"/>
              </w:rPr>
            </w:pPr>
            <w:r>
              <w:rPr>
                <w:bCs/>
                <w:sz w:val="20"/>
              </w:rPr>
              <w:t xml:space="preserve">Discussions &amp; Conclusions: </w:t>
            </w:r>
            <w:r>
              <w:rPr>
                <w:sz w:val="20"/>
                <w:szCs w:val="20"/>
              </w:rPr>
              <w:t>Committee discussed existing draft of Post-Tenure Review document, previously revised to reflect the “developmental” rather than “punitive” function of the post-tenure review process and to clarify the appeal process.  This draft had been approved by FAPC, recommended to share with Interim Provost by Associate Provost, and rejected by Interim Provost.  Committee discussed concerns that the administration may wish to use this document as part of the faculty evaluation process, rendering it no longer a departmental “in-house” developmental tool.</w:t>
            </w:r>
          </w:p>
          <w:p w:rsidR="00784B38" w:rsidRDefault="00784B38" w:rsidP="00DB2A4C">
            <w:pPr>
              <w:rPr>
                <w:sz w:val="20"/>
                <w:szCs w:val="20"/>
              </w:rPr>
            </w:pPr>
          </w:p>
          <w:p w:rsidR="00784B38" w:rsidRDefault="00784B38" w:rsidP="00DB2A4C">
            <w:pPr>
              <w:rPr>
                <w:sz w:val="20"/>
                <w:szCs w:val="20"/>
              </w:rPr>
            </w:pPr>
            <w:r>
              <w:rPr>
                <w:sz w:val="20"/>
                <w:szCs w:val="20"/>
              </w:rPr>
              <w:t>Action or Recommendations: Committee recommends inviting Associate Provost Tom Ormond to next FAPC meeting to review current draft and seek guidance as to how/when/whether FAPC presents it to Provost Brown.</w:t>
            </w:r>
          </w:p>
          <w:p w:rsidR="00784B38" w:rsidRDefault="00784B38" w:rsidP="00DB2A4C">
            <w:pPr>
              <w:rPr>
                <w:sz w:val="20"/>
                <w:szCs w:val="20"/>
              </w:rPr>
            </w:pPr>
          </w:p>
          <w:p w:rsidR="00784B38" w:rsidRPr="00F5610A" w:rsidRDefault="00784B38" w:rsidP="00DB2A4C">
            <w:pPr>
              <w:rPr>
                <w:sz w:val="20"/>
                <w:szCs w:val="20"/>
              </w:rPr>
            </w:pPr>
            <w:r>
              <w:rPr>
                <w:sz w:val="20"/>
                <w:szCs w:val="20"/>
              </w:rPr>
              <w:t>Follow-Up: The Committee Chair will invite Tom Ormond to next FAPC meeting, 10/04/13</w:t>
            </w:r>
          </w:p>
        </w:tc>
      </w:tr>
      <w:tr w:rsidR="00784B38" w:rsidRPr="008B1877">
        <w:trPr>
          <w:trHeight w:val="530"/>
        </w:trPr>
        <w:tc>
          <w:tcPr>
            <w:tcW w:w="10440" w:type="dxa"/>
            <w:tcBorders>
              <w:left w:val="double" w:sz="4" w:space="0" w:color="auto"/>
            </w:tcBorders>
          </w:tcPr>
          <w:p w:rsidR="00784B38" w:rsidRPr="008B1877" w:rsidRDefault="00784B38" w:rsidP="00DB2A4C">
            <w:pPr>
              <w:rPr>
                <w:b/>
                <w:bCs/>
                <w:sz w:val="20"/>
              </w:rPr>
            </w:pPr>
            <w:r w:rsidRPr="008B1877">
              <w:rPr>
                <w:b/>
                <w:bCs/>
                <w:sz w:val="20"/>
              </w:rPr>
              <w:t>V.  New Business</w:t>
            </w:r>
          </w:p>
          <w:p w:rsidR="00784B38" w:rsidRPr="005E16FB" w:rsidRDefault="00784B38" w:rsidP="00DB2A4C">
            <w:pPr>
              <w:pStyle w:val="Heading1"/>
            </w:pPr>
          </w:p>
        </w:tc>
      </w:tr>
      <w:tr w:rsidR="00784B38" w:rsidRPr="008B1877">
        <w:trPr>
          <w:trHeight w:val="530"/>
        </w:trPr>
        <w:tc>
          <w:tcPr>
            <w:tcW w:w="10440" w:type="dxa"/>
            <w:tcBorders>
              <w:left w:val="double" w:sz="4" w:space="0" w:color="auto"/>
            </w:tcBorders>
          </w:tcPr>
          <w:p w:rsidR="00784B38" w:rsidRPr="00047834" w:rsidRDefault="00784B38" w:rsidP="00DB2A4C">
            <w:pPr>
              <w:rPr>
                <w:sz w:val="20"/>
              </w:rPr>
            </w:pPr>
            <w:r w:rsidRPr="00047834">
              <w:rPr>
                <w:b/>
                <w:bCs/>
                <w:sz w:val="20"/>
              </w:rPr>
              <w:t xml:space="preserve">1. </w:t>
            </w:r>
            <w:r w:rsidRPr="00813174">
              <w:rPr>
                <w:b/>
                <w:sz w:val="20"/>
              </w:rPr>
              <w:t>Agenda for the Coming Year, potential issues from the Senate Retreat--</w:t>
            </w:r>
          </w:p>
          <w:p w:rsidR="00784B38" w:rsidRPr="00047834" w:rsidRDefault="00784B38" w:rsidP="00DB2A4C">
            <w:pPr>
              <w:rPr>
                <w:sz w:val="20"/>
              </w:rPr>
            </w:pPr>
            <w:r>
              <w:rPr>
                <w:sz w:val="20"/>
              </w:rPr>
              <w:t xml:space="preserve">a. </w:t>
            </w:r>
            <w:r w:rsidRPr="00047834">
              <w:rPr>
                <w:sz w:val="20"/>
              </w:rPr>
              <w:t>Some faculty not receiving Department Chairperson’s Evaluation of Faculty Performance</w:t>
            </w:r>
            <w:r>
              <w:rPr>
                <w:sz w:val="20"/>
              </w:rPr>
              <w:t>.</w:t>
            </w:r>
          </w:p>
          <w:p w:rsidR="00784B38" w:rsidRPr="00047834" w:rsidRDefault="00784B38" w:rsidP="00DB2A4C">
            <w:pPr>
              <w:rPr>
                <w:sz w:val="20"/>
              </w:rPr>
            </w:pPr>
            <w:r>
              <w:rPr>
                <w:sz w:val="20"/>
              </w:rPr>
              <w:t xml:space="preserve">b. </w:t>
            </w:r>
            <w:r w:rsidRPr="00047834">
              <w:rPr>
                <w:sz w:val="20"/>
              </w:rPr>
              <w:t>Some faculty not receiving summer teaching proration option</w:t>
            </w:r>
            <w:r>
              <w:rPr>
                <w:sz w:val="20"/>
              </w:rPr>
              <w:t>.</w:t>
            </w:r>
          </w:p>
          <w:p w:rsidR="00784B38" w:rsidRPr="00047834" w:rsidRDefault="00784B38" w:rsidP="00DB2A4C">
            <w:pPr>
              <w:rPr>
                <w:sz w:val="20"/>
              </w:rPr>
            </w:pPr>
            <w:r>
              <w:rPr>
                <w:sz w:val="20"/>
              </w:rPr>
              <w:t xml:space="preserve">c. </w:t>
            </w:r>
            <w:r w:rsidRPr="00047834">
              <w:rPr>
                <w:sz w:val="20"/>
              </w:rPr>
              <w:t>Resources for growing graduate programs, for instance faculty compensation for teaching graduate courses in the summer</w:t>
            </w:r>
            <w:r>
              <w:rPr>
                <w:sz w:val="20"/>
              </w:rPr>
              <w:t>.</w:t>
            </w:r>
          </w:p>
          <w:p w:rsidR="00784B38" w:rsidRDefault="00784B38" w:rsidP="00DB2A4C">
            <w:pPr>
              <w:rPr>
                <w:sz w:val="20"/>
              </w:rPr>
            </w:pPr>
            <w:r>
              <w:rPr>
                <w:sz w:val="20"/>
              </w:rPr>
              <w:t xml:space="preserve">d. </w:t>
            </w:r>
            <w:r w:rsidRPr="00047834">
              <w:rPr>
                <w:sz w:val="20"/>
              </w:rPr>
              <w:t>Workload issues: teaching load parity across colleges, course banking policies, extra compensation, service requirements</w:t>
            </w:r>
            <w:r>
              <w:rPr>
                <w:sz w:val="20"/>
              </w:rPr>
              <w:t>.</w:t>
            </w:r>
            <w:r w:rsidRPr="00047834">
              <w:rPr>
                <w:sz w:val="20"/>
              </w:rPr>
              <w:t xml:space="preserve"> </w:t>
            </w:r>
          </w:p>
          <w:p w:rsidR="00784B38" w:rsidRDefault="00784B38" w:rsidP="00DB2A4C">
            <w:pPr>
              <w:rPr>
                <w:sz w:val="20"/>
              </w:rPr>
            </w:pPr>
          </w:p>
          <w:p w:rsidR="00784B38" w:rsidRDefault="00784B38" w:rsidP="00DB2A4C">
            <w:pPr>
              <w:rPr>
                <w:sz w:val="20"/>
              </w:rPr>
            </w:pPr>
            <w:r>
              <w:rPr>
                <w:sz w:val="20"/>
              </w:rPr>
              <w:t>Discussions &amp; Conclusions: none</w:t>
            </w:r>
          </w:p>
          <w:p w:rsidR="00784B38" w:rsidRDefault="00784B38" w:rsidP="00DB2A4C">
            <w:pPr>
              <w:rPr>
                <w:sz w:val="20"/>
              </w:rPr>
            </w:pPr>
          </w:p>
          <w:p w:rsidR="00784B38" w:rsidRDefault="00784B38" w:rsidP="00DB2A4C">
            <w:pPr>
              <w:rPr>
                <w:sz w:val="20"/>
              </w:rPr>
            </w:pPr>
            <w:r>
              <w:rPr>
                <w:sz w:val="20"/>
              </w:rPr>
              <w:t>Action or Recommendations: Committee members will email Chair with ideas for fact-finding, other brainstorming</w:t>
            </w:r>
          </w:p>
          <w:p w:rsidR="00784B38" w:rsidRDefault="00784B38" w:rsidP="00DB2A4C">
            <w:pPr>
              <w:rPr>
                <w:sz w:val="20"/>
              </w:rPr>
            </w:pPr>
          </w:p>
          <w:p w:rsidR="00784B38" w:rsidRDefault="00784B38" w:rsidP="00DB2A4C">
            <w:pPr>
              <w:rPr>
                <w:sz w:val="20"/>
              </w:rPr>
            </w:pPr>
            <w:r>
              <w:rPr>
                <w:sz w:val="20"/>
              </w:rPr>
              <w:t>Follow-Up: none</w:t>
            </w:r>
          </w:p>
          <w:p w:rsidR="00784B38" w:rsidRPr="00813174" w:rsidRDefault="00784B38" w:rsidP="00DB2A4C">
            <w:pPr>
              <w:rPr>
                <w:sz w:val="20"/>
              </w:rPr>
            </w:pPr>
          </w:p>
        </w:tc>
      </w:tr>
      <w:tr w:rsidR="00784B38" w:rsidRPr="008B1877">
        <w:trPr>
          <w:trHeight w:val="530"/>
        </w:trPr>
        <w:tc>
          <w:tcPr>
            <w:tcW w:w="10440" w:type="dxa"/>
            <w:tcBorders>
              <w:left w:val="double" w:sz="4" w:space="0" w:color="auto"/>
            </w:tcBorders>
          </w:tcPr>
          <w:p w:rsidR="00784B38" w:rsidRPr="008B1877" w:rsidRDefault="00784B38" w:rsidP="00DB2A4C">
            <w:pPr>
              <w:rPr>
                <w:b/>
                <w:bCs/>
                <w:sz w:val="20"/>
              </w:rPr>
            </w:pPr>
          </w:p>
        </w:tc>
      </w:tr>
      <w:tr w:rsidR="00784B38" w:rsidRPr="008B1877">
        <w:trPr>
          <w:trHeight w:val="530"/>
        </w:trPr>
        <w:tc>
          <w:tcPr>
            <w:tcW w:w="10440" w:type="dxa"/>
            <w:tcBorders>
              <w:left w:val="double" w:sz="4" w:space="0" w:color="auto"/>
            </w:tcBorders>
          </w:tcPr>
          <w:p w:rsidR="00784B38" w:rsidRPr="008B1877" w:rsidRDefault="00784B38" w:rsidP="00DB2A4C">
            <w:pPr>
              <w:pStyle w:val="Heading1"/>
              <w:rPr>
                <w:sz w:val="20"/>
              </w:rPr>
            </w:pPr>
            <w:r w:rsidRPr="008B1877">
              <w:rPr>
                <w:sz w:val="20"/>
              </w:rPr>
              <w:t>V</w:t>
            </w:r>
            <w:r>
              <w:rPr>
                <w:sz w:val="20"/>
              </w:rPr>
              <w:t>I</w:t>
            </w:r>
            <w:r w:rsidRPr="008B1877">
              <w:rPr>
                <w:sz w:val="20"/>
              </w:rPr>
              <w:t>.  Next Meeting</w:t>
            </w:r>
          </w:p>
          <w:p w:rsidR="00784B38" w:rsidRPr="008B1877" w:rsidRDefault="00784B38" w:rsidP="00DB2A4C">
            <w:pPr>
              <w:rPr>
                <w:sz w:val="20"/>
              </w:rPr>
            </w:pPr>
            <w:r>
              <w:rPr>
                <w:sz w:val="20"/>
              </w:rPr>
              <w:t>10/04/13</w:t>
            </w:r>
          </w:p>
        </w:tc>
      </w:tr>
      <w:tr w:rsidR="00784B38" w:rsidRPr="008B1877">
        <w:trPr>
          <w:trHeight w:val="548"/>
        </w:trPr>
        <w:tc>
          <w:tcPr>
            <w:tcW w:w="10440" w:type="dxa"/>
            <w:tcBorders>
              <w:left w:val="double" w:sz="4" w:space="0" w:color="auto"/>
            </w:tcBorders>
          </w:tcPr>
          <w:p w:rsidR="00784B38" w:rsidRPr="008B1877" w:rsidRDefault="00784B38" w:rsidP="00DB2A4C">
            <w:pPr>
              <w:pStyle w:val="Heading1"/>
              <w:rPr>
                <w:sz w:val="20"/>
              </w:rPr>
            </w:pPr>
            <w:r w:rsidRPr="008B1877">
              <w:rPr>
                <w:sz w:val="20"/>
              </w:rPr>
              <w:t>VI</w:t>
            </w:r>
            <w:r>
              <w:rPr>
                <w:sz w:val="20"/>
              </w:rPr>
              <w:t>I</w:t>
            </w:r>
            <w:r w:rsidRPr="008B1877">
              <w:rPr>
                <w:sz w:val="20"/>
              </w:rPr>
              <w:t>.  Adjournment</w:t>
            </w:r>
          </w:p>
          <w:p w:rsidR="00784B38" w:rsidRPr="008B1877" w:rsidRDefault="00784B38" w:rsidP="00DB2A4C">
            <w:pPr>
              <w:rPr>
                <w:sz w:val="20"/>
              </w:rPr>
            </w:pPr>
            <w:r>
              <w:rPr>
                <w:sz w:val="20"/>
              </w:rPr>
              <w:t>3:16 PM</w:t>
            </w:r>
          </w:p>
        </w:tc>
      </w:tr>
    </w:tbl>
    <w:p w:rsidR="00784B38" w:rsidRPr="008B1877" w:rsidRDefault="00784B38" w:rsidP="00784B38">
      <w:pPr>
        <w:tabs>
          <w:tab w:val="left" w:pos="8500"/>
        </w:tabs>
        <w:rPr>
          <w:sz w:val="20"/>
        </w:rPr>
      </w:pPr>
      <w:r w:rsidRPr="008B1877">
        <w:rPr>
          <w:sz w:val="20"/>
        </w:rPr>
        <w:tab/>
      </w:r>
    </w:p>
    <w:p w:rsidR="00784B38" w:rsidRPr="001E511A" w:rsidRDefault="00784B38" w:rsidP="00784B38">
      <w:pPr>
        <w:rPr>
          <w:color w:val="FF0000"/>
          <w:sz w:val="20"/>
        </w:rPr>
      </w:pPr>
      <w:bookmarkStart w:id="0" w:name="_GoBack"/>
      <w:bookmarkEnd w:id="0"/>
      <w:r w:rsidRPr="008B1877">
        <w:rPr>
          <w:sz w:val="20"/>
        </w:rPr>
        <w:br w:type="page"/>
      </w:r>
    </w:p>
    <w:p w:rsidR="00784B38" w:rsidRPr="00B11C50" w:rsidRDefault="00784B38" w:rsidP="00784B38">
      <w:pPr>
        <w:rPr>
          <w:b/>
          <w:bCs/>
          <w:smallCaps/>
          <w:sz w:val="28"/>
          <w:szCs w:val="28"/>
          <w:u w:val="single"/>
        </w:rPr>
      </w:pPr>
      <w:r w:rsidRPr="00B11C50">
        <w:rPr>
          <w:b/>
          <w:bCs/>
          <w:smallCaps/>
          <w:sz w:val="28"/>
          <w:szCs w:val="28"/>
        </w:rPr>
        <w:t xml:space="preserve">Committee Name:  </w:t>
      </w:r>
    </w:p>
    <w:p w:rsidR="00784B38" w:rsidRPr="00B11C50" w:rsidRDefault="00784B38" w:rsidP="00784B38">
      <w:pPr>
        <w:rPr>
          <w:b/>
          <w:bCs/>
          <w:smallCaps/>
          <w:sz w:val="28"/>
          <w:szCs w:val="28"/>
          <w:u w:val="single"/>
        </w:rPr>
      </w:pPr>
      <w:r w:rsidRPr="00B11C50">
        <w:rPr>
          <w:b/>
          <w:bCs/>
          <w:smallCaps/>
          <w:sz w:val="28"/>
          <w:szCs w:val="28"/>
        </w:rPr>
        <w:t xml:space="preserve">Committee Officers: </w:t>
      </w:r>
    </w:p>
    <w:p w:rsidR="00784B38" w:rsidRPr="00B11C50" w:rsidRDefault="00784B38" w:rsidP="00784B38">
      <w:pPr>
        <w:rPr>
          <w:b/>
          <w:bCs/>
          <w:smallCaps/>
          <w:sz w:val="28"/>
          <w:szCs w:val="28"/>
          <w:u w:val="single"/>
        </w:rPr>
      </w:pPr>
      <w:r w:rsidRPr="00B11C50">
        <w:rPr>
          <w:b/>
          <w:bCs/>
          <w:smallCaps/>
          <w:sz w:val="28"/>
          <w:szCs w:val="28"/>
        </w:rPr>
        <w:t>Academic Year:</w:t>
      </w:r>
      <w:r w:rsidRPr="00B11C50">
        <w:rPr>
          <w:b/>
          <w:bCs/>
          <w:smallCaps/>
          <w:sz w:val="28"/>
          <w:szCs w:val="28"/>
          <w:u w:val="single"/>
        </w:rPr>
        <w:t xml:space="preserve"> </w:t>
      </w:r>
    </w:p>
    <w:p w:rsidR="00784B38" w:rsidRPr="00B11C50" w:rsidRDefault="00784B38" w:rsidP="00784B38">
      <w:pPr>
        <w:rPr>
          <w:b/>
          <w:sz w:val="28"/>
          <w:szCs w:val="28"/>
        </w:rPr>
      </w:pPr>
    </w:p>
    <w:p w:rsidR="00784B38" w:rsidRPr="00B11C50" w:rsidRDefault="00784B38" w:rsidP="00784B38">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rsidR="00784B38" w:rsidRPr="00B11C50" w:rsidRDefault="00784B38" w:rsidP="00784B38">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tblPr>
      <w:tblGrid>
        <w:gridCol w:w="1325"/>
        <w:gridCol w:w="1473"/>
        <w:gridCol w:w="955"/>
        <w:gridCol w:w="977"/>
        <w:gridCol w:w="977"/>
        <w:gridCol w:w="869"/>
        <w:gridCol w:w="869"/>
        <w:gridCol w:w="869"/>
        <w:gridCol w:w="869"/>
        <w:gridCol w:w="869"/>
        <w:gridCol w:w="870"/>
      </w:tblGrid>
      <w:tr w:rsidR="00784B38" w:rsidRPr="0014666D">
        <w:trPr>
          <w:trHeight w:val="329"/>
        </w:trPr>
        <w:tc>
          <w:tcPr>
            <w:tcW w:w="1552" w:type="dxa"/>
          </w:tcPr>
          <w:p w:rsidR="00784B38" w:rsidRPr="0014666D" w:rsidRDefault="00784B38" w:rsidP="00DB2A4C">
            <w:pPr>
              <w:ind w:left="180"/>
              <w:rPr>
                <w:sz w:val="20"/>
                <w:highlight w:val="lightGray"/>
              </w:rPr>
            </w:pPr>
          </w:p>
        </w:tc>
        <w:tc>
          <w:tcPr>
            <w:tcW w:w="11325" w:type="dxa"/>
            <w:gridSpan w:val="10"/>
          </w:tcPr>
          <w:p w:rsidR="00784B38" w:rsidRPr="0014666D" w:rsidRDefault="00784B38" w:rsidP="00DB2A4C">
            <w:pPr>
              <w:ind w:left="180"/>
              <w:rPr>
                <w:sz w:val="20"/>
                <w:highlight w:val="lightGray"/>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784B38" w:rsidRPr="0014666D" w:rsidRDefault="00784B38" w:rsidP="00DB2A4C">
            <w:pPr>
              <w:rPr>
                <w:sz w:val="20"/>
              </w:rPr>
            </w:pPr>
            <w:r w:rsidRPr="0014666D">
              <w:rPr>
                <w:sz w:val="20"/>
              </w:rPr>
              <w:t>Meeting Dates</w:t>
            </w:r>
          </w:p>
        </w:tc>
        <w:tc>
          <w:tcPr>
            <w:tcW w:w="1060" w:type="dxa"/>
            <w:tcBorders>
              <w:bottom w:val="single" w:sz="4" w:space="0" w:color="auto"/>
            </w:tcBorders>
            <w:vAlign w:val="center"/>
          </w:tcPr>
          <w:p w:rsidR="00784B38" w:rsidRPr="0014666D" w:rsidRDefault="00784B38" w:rsidP="00DB2A4C">
            <w:pPr>
              <w:jc w:val="center"/>
              <w:rPr>
                <w:sz w:val="20"/>
              </w:rPr>
            </w:pPr>
            <w:r>
              <w:rPr>
                <w:sz w:val="20"/>
              </w:rPr>
              <w:t>Date 1</w:t>
            </w:r>
          </w:p>
        </w:tc>
        <w:tc>
          <w:tcPr>
            <w:tcW w:w="1060" w:type="dxa"/>
            <w:tcBorders>
              <w:bottom w:val="single" w:sz="4" w:space="0" w:color="auto"/>
            </w:tcBorders>
            <w:vAlign w:val="center"/>
          </w:tcPr>
          <w:p w:rsidR="00784B38" w:rsidRPr="0014666D" w:rsidRDefault="00784B38" w:rsidP="00DB2A4C">
            <w:pPr>
              <w:jc w:val="center"/>
              <w:rPr>
                <w:sz w:val="20"/>
              </w:rPr>
            </w:pPr>
            <w:r>
              <w:rPr>
                <w:sz w:val="20"/>
              </w:rPr>
              <w:t>Date2</w:t>
            </w:r>
          </w:p>
        </w:tc>
        <w:tc>
          <w:tcPr>
            <w:tcW w:w="1060" w:type="dxa"/>
            <w:tcBorders>
              <w:bottom w:val="single" w:sz="4" w:space="0" w:color="auto"/>
            </w:tcBorders>
            <w:vAlign w:val="center"/>
          </w:tcPr>
          <w:p w:rsidR="00784B38" w:rsidRPr="0014666D" w:rsidRDefault="00784B38" w:rsidP="00DB2A4C">
            <w:pPr>
              <w:jc w:val="center"/>
              <w:rPr>
                <w:sz w:val="20"/>
              </w:rPr>
            </w:pPr>
            <w:r>
              <w:rPr>
                <w:sz w:val="20"/>
              </w:rPr>
              <w:t>Date3</w:t>
            </w: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1" w:type="dxa"/>
            <w:tcBorders>
              <w:bottom w:val="single" w:sz="4" w:space="0" w:color="auto"/>
              <w:right w:val="double" w:sz="4" w:space="0" w:color="auto"/>
            </w:tcBorders>
            <w:vAlign w:val="center"/>
          </w:tcPr>
          <w:p w:rsidR="00784B38" w:rsidRPr="0014666D" w:rsidRDefault="00784B38" w:rsidP="00DB2A4C">
            <w:pPr>
              <w:jc w:val="center"/>
              <w:rPr>
                <w:sz w:val="20"/>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r>
              <w:t>Member Name 1</w:t>
            </w: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center"/>
          </w:tcPr>
          <w:p w:rsidR="00784B38" w:rsidRPr="000507F8" w:rsidRDefault="00784B38" w:rsidP="00DB2A4C">
            <w:pPr>
              <w:jc w:val="center"/>
              <w:rPr>
                <w:sz w:val="36"/>
                <w:szCs w:val="36"/>
              </w:rPr>
            </w:pPr>
          </w:p>
        </w:tc>
        <w:tc>
          <w:tcPr>
            <w:tcW w:w="1060" w:type="dxa"/>
            <w:tcBorders>
              <w:bottom w:val="single" w:sz="4" w:space="0" w:color="auto"/>
            </w:tcBorders>
            <w:shd w:val="clear" w:color="auto" w:fill="FFFFFF"/>
            <w:vAlign w:val="center"/>
          </w:tcPr>
          <w:p w:rsidR="00784B38" w:rsidRPr="000507F8" w:rsidRDefault="00784B38" w:rsidP="00DB2A4C">
            <w:pPr>
              <w:jc w:val="cente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784B38" w:rsidRPr="0014666D" w:rsidRDefault="00784B38" w:rsidP="00DB2A4C">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left w:val="single" w:sz="4" w:space="0" w:color="auto"/>
            </w:tcBorders>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r>
              <w:t>Member Name 3</w:t>
            </w: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1" w:type="dxa"/>
            <w:tcBorders>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1" w:type="dxa"/>
            <w:tcBorders>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84B38" w:rsidRPr="0014666D" w:rsidRDefault="00784B38" w:rsidP="00DB2A4C">
            <w:pPr>
              <w:rPr>
                <w:sz w:val="20"/>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1" w:type="dxa"/>
            <w:tcBorders>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84B38" w:rsidRPr="0014666D" w:rsidRDefault="00784B38" w:rsidP="00DB2A4C">
            <w:pPr>
              <w:rPr>
                <w:sz w:val="20"/>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1" w:type="dxa"/>
            <w:tcBorders>
              <w:bottom w:val="double" w:sz="4" w:space="0" w:color="auto"/>
              <w:right w:val="double" w:sz="4" w:space="0" w:color="auto"/>
            </w:tcBorders>
            <w:shd w:val="clear" w:color="auto" w:fill="auto"/>
            <w:vAlign w:val="bottom"/>
          </w:tcPr>
          <w:p w:rsidR="00784B38" w:rsidRPr="0014666D" w:rsidRDefault="00784B38" w:rsidP="00DB2A4C">
            <w:pPr>
              <w:rPr>
                <w:sz w:val="20"/>
              </w:rPr>
            </w:pPr>
          </w:p>
        </w:tc>
      </w:tr>
    </w:tbl>
    <w:p w:rsidR="00784B38" w:rsidRPr="0014666D" w:rsidRDefault="00784B38" w:rsidP="00784B38">
      <w:pPr>
        <w:tabs>
          <w:tab w:val="left" w:pos="7665"/>
        </w:tabs>
        <w:rPr>
          <w:sz w:val="20"/>
        </w:rPr>
      </w:pPr>
      <w:r w:rsidRPr="0014666D">
        <w:rPr>
          <w:sz w:val="20"/>
        </w:rPr>
        <w:tab/>
      </w:r>
    </w:p>
    <w:p w:rsidR="00784B38" w:rsidRPr="0014666D" w:rsidRDefault="00784B38" w:rsidP="00784B38">
      <w:pPr>
        <w:rPr>
          <w:sz w:val="20"/>
        </w:rPr>
      </w:pPr>
    </w:p>
    <w:p w:rsidR="00784B38" w:rsidRPr="0014666D" w:rsidRDefault="00784B38" w:rsidP="00784B38">
      <w:pPr>
        <w:tabs>
          <w:tab w:val="right" w:pos="14314"/>
        </w:tabs>
        <w:rPr>
          <w:sz w:val="20"/>
        </w:rPr>
      </w:pPr>
    </w:p>
    <w:p w:rsidR="00784B38" w:rsidRPr="0014666D" w:rsidRDefault="00784B38" w:rsidP="00784B38">
      <w:pPr>
        <w:tabs>
          <w:tab w:val="right" w:pos="14314"/>
        </w:tabs>
        <w:rPr>
          <w:sz w:val="20"/>
          <w:u w:val="single"/>
        </w:rPr>
      </w:pPr>
      <w:r w:rsidRPr="0014666D">
        <w:rPr>
          <w:sz w:val="20"/>
        </w:rPr>
        <w:t xml:space="preserve">__________________________________________                                                                        </w:t>
      </w:r>
    </w:p>
    <w:p w:rsidR="00784B38" w:rsidRPr="0014666D" w:rsidRDefault="00784B38" w:rsidP="00784B38">
      <w:pPr>
        <w:rPr>
          <w:sz w:val="20"/>
        </w:rPr>
      </w:pPr>
      <w:r w:rsidRPr="0014666D">
        <w:rPr>
          <w:sz w:val="20"/>
        </w:rPr>
        <w:t>CHAIRPERSON SIGNATURE                                                                                                            DATE  ________________________________-</w:t>
      </w:r>
    </w:p>
    <w:p w:rsidR="00784B38" w:rsidRPr="0014666D" w:rsidRDefault="00784B38" w:rsidP="00784B38">
      <w:pPr>
        <w:rPr>
          <w:sz w:val="20"/>
        </w:rPr>
      </w:pPr>
    </w:p>
    <w:p w:rsidR="00784B38" w:rsidRPr="0014666D" w:rsidRDefault="00784B38" w:rsidP="00784B38">
      <w:pPr>
        <w:rPr>
          <w:sz w:val="20"/>
        </w:rPr>
      </w:pPr>
      <w:r>
        <w:rPr>
          <w:sz w:val="20"/>
        </w:rPr>
        <w:t>(Including this Approval by chair at committee discretion)</w:t>
      </w:r>
    </w:p>
    <w:p w:rsidR="00784B38" w:rsidRPr="0014666D" w:rsidRDefault="00784B38" w:rsidP="00784B38">
      <w:pPr>
        <w:rPr>
          <w:sz w:val="20"/>
        </w:rPr>
      </w:pPr>
    </w:p>
    <w:p w:rsidR="00126935" w:rsidRDefault="00126935"/>
    <w:sectPr w:rsidR="00126935" w:rsidSect="00F5610A">
      <w:pgSz w:w="12240" w:h="15840" w:code="1"/>
      <w:pgMar w:top="864" w:right="576" w:bottom="662" w:left="86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917EE1"/>
    <w:multiLevelType w:val="hybridMultilevel"/>
    <w:tmpl w:val="52C6E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670BC"/>
    <w:multiLevelType w:val="hybridMultilevel"/>
    <w:tmpl w:val="F3EA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784B38"/>
    <w:rsid w:val="00126935"/>
    <w:rsid w:val="003B7B72"/>
    <w:rsid w:val="004376BD"/>
    <w:rsid w:val="006E09DD"/>
    <w:rsid w:val="00784B3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8"/>
    <w:rPr>
      <w:rFonts w:ascii="Times New Roman" w:eastAsia="Times New Roman" w:hAnsi="Times New Roman" w:cs="Times New Roman"/>
    </w:rPr>
  </w:style>
  <w:style w:type="paragraph" w:styleId="Heading1">
    <w:name w:val="heading 1"/>
    <w:basedOn w:val="Normal"/>
    <w:next w:val="Normal"/>
    <w:link w:val="Heading1Char"/>
    <w:qFormat/>
    <w:rsid w:val="00784B38"/>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4B38"/>
    <w:rPr>
      <w:rFonts w:ascii="Times New Roman" w:eastAsia="Times New Roman" w:hAnsi="Times New Roman" w:cs="Times New Roman"/>
      <w:b/>
      <w:bCs/>
    </w:rPr>
  </w:style>
  <w:style w:type="paragraph" w:styleId="ListParagraph">
    <w:name w:val="List Paragraph"/>
    <w:basedOn w:val="Normal"/>
    <w:uiPriority w:val="34"/>
    <w:qFormat/>
    <w:rsid w:val="00784B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8"/>
    <w:rPr>
      <w:rFonts w:ascii="Times New Roman" w:eastAsia="Times New Roman" w:hAnsi="Times New Roman" w:cs="Times New Roman"/>
    </w:rPr>
  </w:style>
  <w:style w:type="paragraph" w:styleId="Heading1">
    <w:name w:val="heading 1"/>
    <w:basedOn w:val="Normal"/>
    <w:next w:val="Normal"/>
    <w:link w:val="Heading1Char"/>
    <w:qFormat/>
    <w:rsid w:val="00784B3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B38"/>
    <w:rPr>
      <w:rFonts w:ascii="Times New Roman" w:eastAsia="Times New Roman" w:hAnsi="Times New Roman" w:cs="Times New Roman"/>
      <w:b/>
      <w:bCs/>
    </w:rPr>
  </w:style>
  <w:style w:type="paragraph" w:styleId="ListParagraph">
    <w:name w:val="List Paragraph"/>
    <w:basedOn w:val="Normal"/>
    <w:uiPriority w:val="34"/>
    <w:qFormat/>
    <w:rsid w:val="00784B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5104</Characters>
  <Application>Microsoft Macintosh Word</Application>
  <DocSecurity>0</DocSecurity>
  <Lines>42</Lines>
  <Paragraphs>10</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Bill Fisher</cp:lastModifiedBy>
  <cp:revision>2</cp:revision>
  <dcterms:created xsi:type="dcterms:W3CDTF">2013-09-09T14:07:00Z</dcterms:created>
  <dcterms:modified xsi:type="dcterms:W3CDTF">2013-09-09T14:07:00Z</dcterms:modified>
</cp:coreProperties>
</file>