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77" w:rsidRPr="00391391" w:rsidRDefault="00911B77" w:rsidP="00911B77">
      <w:pPr>
        <w:rPr>
          <w:rFonts w:ascii="Palatino Linotype" w:hAnsi="Palatino Linotype"/>
          <w:b/>
          <w:sz w:val="24"/>
          <w:szCs w:val="24"/>
        </w:rPr>
      </w:pPr>
      <w:r w:rsidRPr="00391391">
        <w:rPr>
          <w:rFonts w:ascii="Palatino Linotype" w:hAnsi="Palatino Linotype"/>
          <w:b/>
          <w:sz w:val="24"/>
          <w:szCs w:val="24"/>
        </w:rPr>
        <w:t>To:</w:t>
      </w:r>
      <w:r w:rsidRPr="00391391">
        <w:rPr>
          <w:rFonts w:ascii="Palatino Linotype" w:hAnsi="Palatino Linotype"/>
          <w:b/>
          <w:sz w:val="24"/>
          <w:szCs w:val="24"/>
        </w:rPr>
        <w:tab/>
        <w:t>Senate Members</w:t>
      </w:r>
    </w:p>
    <w:p w:rsidR="00911B77" w:rsidRPr="00391391" w:rsidRDefault="00911B77" w:rsidP="00911B77">
      <w:pPr>
        <w:rPr>
          <w:rFonts w:ascii="Palatino Linotype" w:hAnsi="Palatino Linotype"/>
          <w:b/>
          <w:sz w:val="24"/>
          <w:szCs w:val="24"/>
        </w:rPr>
      </w:pPr>
      <w:r w:rsidRPr="00391391">
        <w:rPr>
          <w:rFonts w:ascii="Palatino Linotype" w:hAnsi="Palatino Linotype"/>
          <w:b/>
          <w:sz w:val="24"/>
          <w:szCs w:val="24"/>
        </w:rPr>
        <w:t>From:</w:t>
      </w:r>
      <w:r w:rsidRPr="00391391">
        <w:rPr>
          <w:rFonts w:ascii="Palatino Linotype" w:hAnsi="Palatino Linotype"/>
          <w:b/>
          <w:sz w:val="24"/>
          <w:szCs w:val="24"/>
        </w:rPr>
        <w:tab/>
        <w:t xml:space="preserve">Kelli Brown, </w:t>
      </w:r>
      <w:proofErr w:type="gramStart"/>
      <w:r w:rsidRPr="00391391">
        <w:rPr>
          <w:rFonts w:ascii="Palatino Linotype" w:hAnsi="Palatino Linotype"/>
          <w:b/>
          <w:sz w:val="24"/>
          <w:szCs w:val="24"/>
        </w:rPr>
        <w:t>Provost &amp;</w:t>
      </w:r>
      <w:proofErr w:type="gramEnd"/>
      <w:r w:rsidRPr="00391391">
        <w:rPr>
          <w:rFonts w:ascii="Palatino Linotype" w:hAnsi="Palatino Linotype"/>
          <w:b/>
          <w:sz w:val="24"/>
          <w:szCs w:val="24"/>
        </w:rPr>
        <w:t xml:space="preserve"> VP for Academic Affairs</w:t>
      </w:r>
    </w:p>
    <w:p w:rsidR="00911B77" w:rsidRPr="00391391" w:rsidRDefault="00911B77" w:rsidP="00911B77">
      <w:pPr>
        <w:rPr>
          <w:rFonts w:ascii="Palatino Linotype" w:hAnsi="Palatino Linotype"/>
          <w:b/>
          <w:sz w:val="24"/>
          <w:szCs w:val="24"/>
        </w:rPr>
      </w:pPr>
      <w:r w:rsidRPr="00391391">
        <w:rPr>
          <w:rFonts w:ascii="Palatino Linotype" w:hAnsi="Palatino Linotype"/>
          <w:b/>
          <w:sz w:val="24"/>
          <w:szCs w:val="24"/>
        </w:rPr>
        <w:t>Re:</w:t>
      </w:r>
      <w:r w:rsidRPr="00391391">
        <w:rPr>
          <w:rFonts w:ascii="Palatino Linotype" w:hAnsi="Palatino Linotype"/>
          <w:b/>
          <w:sz w:val="24"/>
          <w:szCs w:val="24"/>
        </w:rPr>
        <w:tab/>
        <w:t>Status of the Policies, Procedures, &amp; Practices Manual</w:t>
      </w:r>
    </w:p>
    <w:p w:rsidR="00911B77" w:rsidRPr="00391391" w:rsidRDefault="00911B77" w:rsidP="00911B77">
      <w:pPr>
        <w:rPr>
          <w:rFonts w:ascii="Palatino Linotype" w:hAnsi="Palatino Linotype"/>
          <w:b/>
          <w:sz w:val="24"/>
          <w:szCs w:val="24"/>
        </w:rPr>
      </w:pPr>
      <w:r w:rsidRPr="00391391">
        <w:rPr>
          <w:rFonts w:ascii="Palatino Linotype" w:hAnsi="Palatino Linotype"/>
          <w:b/>
          <w:sz w:val="24"/>
          <w:szCs w:val="24"/>
        </w:rPr>
        <w:t>Date:</w:t>
      </w:r>
      <w:r w:rsidRPr="00391391">
        <w:rPr>
          <w:rFonts w:ascii="Palatino Linotype" w:hAnsi="Palatino Linotype"/>
          <w:b/>
          <w:sz w:val="24"/>
          <w:szCs w:val="24"/>
        </w:rPr>
        <w:tab/>
        <w:t>October 25, 2013</w:t>
      </w:r>
    </w:p>
    <w:p w:rsidR="00911B77" w:rsidRPr="00391391" w:rsidRDefault="00911B77" w:rsidP="006D6F0D">
      <w:pPr>
        <w:jc w:val="both"/>
        <w:rPr>
          <w:rFonts w:ascii="Palatino Linotype" w:hAnsi="Palatino Linotype"/>
          <w:sz w:val="24"/>
          <w:szCs w:val="24"/>
        </w:rPr>
      </w:pPr>
      <w:r w:rsidRPr="00391391">
        <w:rPr>
          <w:rFonts w:ascii="Palatino Linotype" w:hAnsi="Palatino Linotype"/>
          <w:sz w:val="24"/>
          <w:szCs w:val="24"/>
        </w:rPr>
        <w:t xml:space="preserve">The updated Policy, Procedure, &amp; Practice Manual can now be accessed electronically via </w:t>
      </w:r>
      <w:hyperlink r:id="rId6" w:history="1">
        <w:r w:rsidRPr="00391391">
          <w:rPr>
            <w:rFonts w:ascii="Palatino Linotype" w:hAnsi="Palatino Linotype" w:cs="Calibri"/>
            <w:color w:val="0000FF"/>
            <w:sz w:val="24"/>
            <w:szCs w:val="24"/>
            <w:u w:val="single" w:color="0000FF"/>
          </w:rPr>
          <w:t>gcsu.edu/policies</w:t>
        </w:r>
      </w:hyperlink>
      <w:r w:rsidRPr="00391391">
        <w:rPr>
          <w:rFonts w:ascii="Palatino Linotype" w:hAnsi="Palatino Linotype"/>
          <w:sz w:val="24"/>
          <w:szCs w:val="24"/>
        </w:rPr>
        <w:t>.</w:t>
      </w:r>
    </w:p>
    <w:p w:rsidR="00911B77" w:rsidRPr="00391391" w:rsidRDefault="00911B77" w:rsidP="006D6F0D">
      <w:pPr>
        <w:jc w:val="both"/>
        <w:rPr>
          <w:rFonts w:ascii="Palatino Linotype" w:hAnsi="Palatino Linotype"/>
          <w:sz w:val="24"/>
          <w:szCs w:val="24"/>
        </w:rPr>
      </w:pPr>
      <w:r w:rsidRPr="00391391">
        <w:rPr>
          <w:rFonts w:ascii="Palatino Linotype" w:hAnsi="Palatino Linotype"/>
          <w:sz w:val="24"/>
          <w:szCs w:val="24"/>
          <w:u w:val="single"/>
        </w:rPr>
        <w:t>Brief History</w:t>
      </w:r>
    </w:p>
    <w:p w:rsidR="00911B77" w:rsidRPr="00391391" w:rsidRDefault="00911B77" w:rsidP="006D6F0D">
      <w:pPr>
        <w:jc w:val="both"/>
        <w:rPr>
          <w:rFonts w:ascii="Palatino Linotype" w:hAnsi="Palatino Linotype"/>
          <w:sz w:val="24"/>
          <w:szCs w:val="24"/>
        </w:rPr>
      </w:pPr>
      <w:r w:rsidRPr="00391391">
        <w:rPr>
          <w:rFonts w:ascii="Palatino Linotype" w:hAnsi="Palatino Linotype"/>
          <w:sz w:val="24"/>
          <w:szCs w:val="24"/>
        </w:rPr>
        <w:t xml:space="preserve">In February 2012, working on behalf of Provost Sandra Jordan, Dr. Mike Digby briefed the Senate on the task of editing the Academic Affairs portion of the on-line Policies, Procedures, and Practices Manual (PPPM). </w:t>
      </w:r>
    </w:p>
    <w:p w:rsidR="00911B77" w:rsidRPr="00391391" w:rsidRDefault="00911B77" w:rsidP="006D6F0D">
      <w:pPr>
        <w:jc w:val="both"/>
        <w:rPr>
          <w:rFonts w:ascii="Palatino Linotype" w:hAnsi="Palatino Linotype"/>
          <w:sz w:val="24"/>
          <w:szCs w:val="24"/>
        </w:rPr>
      </w:pPr>
      <w:r w:rsidRPr="00391391">
        <w:rPr>
          <w:rFonts w:ascii="Palatino Linotype" w:hAnsi="Palatino Linotype"/>
          <w:sz w:val="24"/>
          <w:szCs w:val="24"/>
        </w:rPr>
        <w:t>On October 26, 2012 ECUS approved the following motion:</w:t>
      </w:r>
    </w:p>
    <w:p w:rsidR="00DF4BA7" w:rsidRPr="006D6F0D" w:rsidRDefault="006D6F0D" w:rsidP="006D6F0D">
      <w:pPr>
        <w:pStyle w:val="ListParagraph"/>
        <w:spacing w:after="0" w:line="240" w:lineRule="auto"/>
        <w:jc w:val="both"/>
        <w:rPr>
          <w:rFonts w:ascii="Palatino Linotype" w:hAnsi="Palatino Linotype"/>
          <w:sz w:val="20"/>
          <w:szCs w:val="20"/>
        </w:rPr>
      </w:pPr>
      <w:r>
        <w:rPr>
          <w:rFonts w:ascii="Palatino Linotype" w:hAnsi="Palatino Linotype"/>
          <w:b/>
          <w:sz w:val="20"/>
          <w:szCs w:val="20"/>
          <w:u w:val="single"/>
        </w:rPr>
        <w:t xml:space="preserve">ECUS </w:t>
      </w:r>
      <w:r w:rsidR="00DF4BA7" w:rsidRPr="006D6F0D">
        <w:rPr>
          <w:rFonts w:ascii="Palatino Linotype" w:hAnsi="Palatino Linotype"/>
          <w:b/>
          <w:sz w:val="20"/>
          <w:szCs w:val="20"/>
          <w:u w:val="single"/>
        </w:rPr>
        <w:t>PPPM Motion (26 Oct 2012)</w:t>
      </w:r>
      <w:r w:rsidR="00DF4BA7" w:rsidRPr="006D6F0D">
        <w:rPr>
          <w:rFonts w:ascii="Palatino Linotype" w:hAnsi="Palatino Linotype"/>
          <w:sz w:val="20"/>
          <w:szCs w:val="20"/>
        </w:rPr>
        <w:t xml:space="preserve">: A motion </w:t>
      </w:r>
      <w:proofErr w:type="gramStart"/>
      <w:r w:rsidR="00DF4BA7" w:rsidRPr="006D6F0D">
        <w:rPr>
          <w:rFonts w:ascii="Palatino Linotype" w:hAnsi="Palatino Linotype"/>
          <w:i/>
          <w:sz w:val="20"/>
          <w:szCs w:val="20"/>
        </w:rPr>
        <w:t>To</w:t>
      </w:r>
      <w:proofErr w:type="gramEnd"/>
      <w:r w:rsidR="00DF4BA7" w:rsidRPr="006D6F0D">
        <w:rPr>
          <w:rFonts w:ascii="Palatino Linotype" w:hAnsi="Palatino Linotype"/>
          <w:i/>
          <w:sz w:val="20"/>
          <w:szCs w:val="20"/>
        </w:rPr>
        <w:t xml:space="preserve"> acknowledge the excellent work on the PPPM by Dr. Mike </w:t>
      </w:r>
      <w:proofErr w:type="spellStart"/>
      <w:r w:rsidR="00DF4BA7" w:rsidRPr="006D6F0D">
        <w:rPr>
          <w:rFonts w:ascii="Palatino Linotype" w:hAnsi="Palatino Linotype"/>
          <w:i/>
          <w:sz w:val="20"/>
          <w:szCs w:val="20"/>
        </w:rPr>
        <w:t>Digby</w:t>
      </w:r>
      <w:proofErr w:type="spellEnd"/>
      <w:r w:rsidR="00DF4BA7" w:rsidRPr="006D6F0D">
        <w:rPr>
          <w:rFonts w:ascii="Palatino Linotype" w:hAnsi="Palatino Linotype"/>
          <w:i/>
          <w:sz w:val="20"/>
          <w:szCs w:val="20"/>
        </w:rPr>
        <w:t xml:space="preserve"> and authorize him to take the proposed next steps, to </w:t>
      </w:r>
    </w:p>
    <w:p w:rsidR="00DF4BA7" w:rsidRPr="006D6F0D" w:rsidRDefault="00DF4BA7" w:rsidP="006D6F0D">
      <w:pPr>
        <w:pStyle w:val="ListParagraph"/>
        <w:numPr>
          <w:ilvl w:val="1"/>
          <w:numId w:val="6"/>
        </w:numPr>
        <w:spacing w:after="0" w:line="240" w:lineRule="auto"/>
        <w:ind w:left="1080"/>
        <w:jc w:val="both"/>
        <w:rPr>
          <w:rFonts w:ascii="Palatino Linotype" w:hAnsi="Palatino Linotype"/>
          <w:sz w:val="20"/>
          <w:szCs w:val="20"/>
        </w:rPr>
      </w:pPr>
      <w:r w:rsidRPr="006D6F0D">
        <w:rPr>
          <w:rFonts w:ascii="Palatino Linotype" w:hAnsi="Palatino Linotype"/>
          <w:i/>
          <w:sz w:val="20"/>
          <w:szCs w:val="20"/>
        </w:rPr>
        <w:t>modify section titles to support better indexing and facilitate the search/find function of the PPPM</w:t>
      </w:r>
    </w:p>
    <w:p w:rsidR="00DF4BA7" w:rsidRPr="006D6F0D" w:rsidRDefault="00DF4BA7" w:rsidP="006D6F0D">
      <w:pPr>
        <w:pStyle w:val="ListParagraph"/>
        <w:numPr>
          <w:ilvl w:val="1"/>
          <w:numId w:val="6"/>
        </w:numPr>
        <w:spacing w:after="0" w:line="240" w:lineRule="auto"/>
        <w:ind w:left="1080"/>
        <w:jc w:val="both"/>
        <w:rPr>
          <w:rFonts w:ascii="Palatino Linotype" w:hAnsi="Palatino Linotype"/>
          <w:sz w:val="20"/>
          <w:szCs w:val="20"/>
        </w:rPr>
      </w:pPr>
      <w:r w:rsidRPr="006D6F0D">
        <w:rPr>
          <w:rFonts w:ascii="Palatino Linotype" w:hAnsi="Palatino Linotype"/>
          <w:i/>
          <w:sz w:val="20"/>
          <w:szCs w:val="20"/>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DF4BA7" w:rsidRPr="006D6F0D" w:rsidRDefault="00DF4BA7" w:rsidP="006D6F0D">
      <w:pPr>
        <w:pStyle w:val="ListParagraph"/>
        <w:numPr>
          <w:ilvl w:val="1"/>
          <w:numId w:val="6"/>
        </w:numPr>
        <w:spacing w:after="0" w:line="240" w:lineRule="auto"/>
        <w:ind w:left="1080"/>
        <w:jc w:val="both"/>
        <w:rPr>
          <w:rFonts w:ascii="Palatino Linotype" w:hAnsi="Palatino Linotype"/>
          <w:sz w:val="20"/>
          <w:szCs w:val="20"/>
        </w:rPr>
      </w:pPr>
      <w:r w:rsidRPr="006D6F0D">
        <w:rPr>
          <w:rFonts w:ascii="Palatino Linotype" w:hAnsi="Palatino Linotype"/>
          <w:i/>
          <w:sz w:val="20"/>
          <w:szCs w:val="20"/>
        </w:rPr>
        <w:t xml:space="preserve"> </w:t>
      </w:r>
      <w:proofErr w:type="gramStart"/>
      <w:r w:rsidRPr="006D6F0D">
        <w:rPr>
          <w:rFonts w:ascii="Palatino Linotype" w:hAnsi="Palatino Linotype"/>
          <w:i/>
          <w:sz w:val="20"/>
          <w:szCs w:val="20"/>
        </w:rPr>
        <w:t>identify</w:t>
      </w:r>
      <w:proofErr w:type="gramEnd"/>
      <w:r w:rsidRPr="006D6F0D">
        <w:rPr>
          <w:rFonts w:ascii="Palatino Linotype" w:hAnsi="Palatino Linotype"/>
          <w:i/>
          <w:sz w:val="20"/>
          <w:szCs w:val="20"/>
        </w:rPr>
        <w:t xml:space="preserve"> and collate conflicting versions of policies and refer these to ECUS for steering to the appropriate individual or policy committee for review and conflict resolution. and </w:t>
      </w:r>
    </w:p>
    <w:p w:rsidR="00DF4BA7" w:rsidRPr="006D6F0D" w:rsidRDefault="00DF4BA7" w:rsidP="006D6F0D">
      <w:pPr>
        <w:pStyle w:val="ListParagraph"/>
        <w:numPr>
          <w:ilvl w:val="1"/>
          <w:numId w:val="6"/>
        </w:numPr>
        <w:spacing w:after="0" w:line="240" w:lineRule="auto"/>
        <w:ind w:left="1080"/>
        <w:jc w:val="both"/>
        <w:rPr>
          <w:rFonts w:ascii="Palatino Linotype" w:hAnsi="Palatino Linotype"/>
          <w:sz w:val="20"/>
          <w:szCs w:val="20"/>
        </w:rPr>
      </w:pPr>
      <w:r w:rsidRPr="006D6F0D">
        <w:rPr>
          <w:rFonts w:ascii="Palatino Linotype" w:hAnsi="Palatino Linotype"/>
          <w:i/>
          <w:sz w:val="20"/>
          <w:szCs w:val="20"/>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DF4BA7" w:rsidRPr="006D6F0D" w:rsidRDefault="00DF4BA7" w:rsidP="006D6F0D">
      <w:pPr>
        <w:ind w:left="720"/>
        <w:jc w:val="both"/>
        <w:rPr>
          <w:rFonts w:ascii="Palatino Linotype" w:hAnsi="Palatino Linotype"/>
          <w:sz w:val="20"/>
          <w:szCs w:val="20"/>
        </w:rPr>
      </w:pPr>
      <w:proofErr w:type="gramStart"/>
      <w:r w:rsidRPr="006D6F0D">
        <w:rPr>
          <w:rFonts w:ascii="Palatino Linotype" w:hAnsi="Palatino Linotype"/>
          <w:sz w:val="20"/>
          <w:szCs w:val="20"/>
        </w:rPr>
        <w:t>was</w:t>
      </w:r>
      <w:proofErr w:type="gramEnd"/>
      <w:r w:rsidRPr="006D6F0D">
        <w:rPr>
          <w:rFonts w:ascii="Palatino Linotype" w:hAnsi="Palatino Linotype"/>
          <w:sz w:val="20"/>
          <w:szCs w:val="20"/>
        </w:rPr>
        <w:t xml:space="preserve"> made and seconded.</w:t>
      </w:r>
    </w:p>
    <w:p w:rsidR="006D6F0D" w:rsidRPr="006D6F0D" w:rsidRDefault="00DF4BA7" w:rsidP="006D6F0D">
      <w:pPr>
        <w:widowControl w:val="0"/>
        <w:autoSpaceDE w:val="0"/>
        <w:autoSpaceDN w:val="0"/>
        <w:adjustRightInd w:val="0"/>
        <w:ind w:left="480"/>
        <w:jc w:val="both"/>
        <w:rPr>
          <w:rFonts w:ascii="Palatino Linotype" w:hAnsi="Palatino Linotype" w:cs="Calibri"/>
          <w:b/>
          <w:bCs/>
          <w:sz w:val="20"/>
          <w:szCs w:val="20"/>
        </w:rPr>
      </w:pPr>
      <w:r w:rsidRPr="006D6F0D">
        <w:rPr>
          <w:rFonts w:ascii="Palatino Linotype" w:hAnsi="Palatino Linotype"/>
          <w:b/>
          <w:sz w:val="20"/>
          <w:szCs w:val="20"/>
          <w:u w:val="single"/>
        </w:rPr>
        <w:t>Change Log</w:t>
      </w:r>
      <w:r w:rsidRPr="006D6F0D">
        <w:rPr>
          <w:rFonts w:ascii="Palatino Linotype" w:hAnsi="Palatino Linotype"/>
          <w:sz w:val="20"/>
          <w:szCs w:val="20"/>
        </w:rPr>
        <w:t xml:space="preserve">: Catherine Whelan noted that Mike </w:t>
      </w:r>
      <w:proofErr w:type="spellStart"/>
      <w:r w:rsidRPr="006D6F0D">
        <w:rPr>
          <w:rFonts w:ascii="Palatino Linotype" w:hAnsi="Palatino Linotype"/>
          <w:sz w:val="20"/>
          <w:szCs w:val="20"/>
        </w:rPr>
        <w:t>Digby</w:t>
      </w:r>
      <w:proofErr w:type="spellEnd"/>
      <w:r w:rsidRPr="006D6F0D">
        <w:rPr>
          <w:rFonts w:ascii="Palatino Linotype" w:hAnsi="Palatino Linotype"/>
          <w:sz w:val="20"/>
          <w:szCs w:val="20"/>
        </w:rPr>
        <w:t xml:space="preserve"> is maintaining a Change Log for the PPPM that will document the editorial changes that he is making as well as those changes that he is proposing for consideration and review by others.</w:t>
      </w:r>
    </w:p>
    <w:p w:rsidR="00911B77" w:rsidRPr="00E2663A" w:rsidRDefault="00911B77" w:rsidP="006D6F0D">
      <w:pPr>
        <w:widowControl w:val="0"/>
        <w:autoSpaceDE w:val="0"/>
        <w:autoSpaceDN w:val="0"/>
        <w:adjustRightInd w:val="0"/>
        <w:jc w:val="both"/>
        <w:rPr>
          <w:rFonts w:ascii="Palatino Linotype" w:hAnsi="Palatino Linotype" w:cs="Calibri"/>
          <w:sz w:val="20"/>
          <w:szCs w:val="20"/>
        </w:rPr>
      </w:pPr>
      <w:r w:rsidRPr="00391391">
        <w:rPr>
          <w:rFonts w:ascii="Palatino Linotype" w:hAnsi="Palatino Linotype"/>
          <w:sz w:val="24"/>
          <w:szCs w:val="24"/>
          <w:u w:val="single"/>
        </w:rPr>
        <w:t>Work to update PPPM</w:t>
      </w:r>
    </w:p>
    <w:p w:rsidR="00911B77" w:rsidRPr="00391391" w:rsidRDefault="00911B77" w:rsidP="006D6F0D">
      <w:pPr>
        <w:jc w:val="both"/>
        <w:rPr>
          <w:rFonts w:ascii="Palatino Linotype" w:hAnsi="Palatino Linotype"/>
          <w:sz w:val="24"/>
          <w:szCs w:val="24"/>
        </w:rPr>
      </w:pPr>
      <w:r w:rsidRPr="00391391">
        <w:rPr>
          <w:rFonts w:ascii="Palatino Linotype" w:hAnsi="Palatino Linotype"/>
          <w:sz w:val="24"/>
          <w:szCs w:val="24"/>
        </w:rPr>
        <w:t>During the time the PP</w:t>
      </w:r>
      <w:r w:rsidR="006D6F0D">
        <w:rPr>
          <w:rFonts w:ascii="Palatino Linotype" w:hAnsi="Palatino Linotype"/>
          <w:sz w:val="24"/>
          <w:szCs w:val="24"/>
        </w:rPr>
        <w:t>P</w:t>
      </w:r>
      <w:r w:rsidRPr="00391391">
        <w:rPr>
          <w:rFonts w:ascii="Palatino Linotype" w:hAnsi="Palatino Linotype"/>
          <w:sz w:val="24"/>
          <w:szCs w:val="24"/>
        </w:rPr>
        <w:t>M was being reviewed, any new or approved policies were automatically included in the new version of the PPPM.</w:t>
      </w:r>
    </w:p>
    <w:p w:rsidR="00911B77" w:rsidRPr="00391391" w:rsidRDefault="00911B77" w:rsidP="006D6F0D">
      <w:pPr>
        <w:jc w:val="both"/>
        <w:rPr>
          <w:rFonts w:ascii="Palatino Linotype" w:hAnsi="Palatino Linotype"/>
          <w:sz w:val="24"/>
          <w:szCs w:val="24"/>
        </w:rPr>
      </w:pPr>
      <w:r w:rsidRPr="00391391">
        <w:rPr>
          <w:rFonts w:ascii="Palatino Linotype" w:hAnsi="Palatino Linotype"/>
          <w:sz w:val="24"/>
          <w:szCs w:val="24"/>
        </w:rPr>
        <w:t>Drs. Catherine Whelan &amp; Tom Ormond assisted Dr. Digby, with additional review by Dr. Craig Turner.</w:t>
      </w:r>
    </w:p>
    <w:p w:rsidR="00911B77" w:rsidRPr="00391391" w:rsidRDefault="00911B77" w:rsidP="006D6F0D">
      <w:pPr>
        <w:numPr>
          <w:ilvl w:val="0"/>
          <w:numId w:val="3"/>
        </w:numPr>
        <w:tabs>
          <w:tab w:val="left" w:pos="810"/>
        </w:tabs>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lastRenderedPageBreak/>
        <w:t>No changes were made to policies but an attempt was made to:</w:t>
      </w:r>
    </w:p>
    <w:p w:rsidR="00911B77" w:rsidRPr="00391391" w:rsidRDefault="00911B77" w:rsidP="006D6F0D">
      <w:pPr>
        <w:pStyle w:val="ListParagraph"/>
        <w:numPr>
          <w:ilvl w:val="0"/>
          <w:numId w:val="5"/>
        </w:numPr>
        <w:jc w:val="both"/>
        <w:rPr>
          <w:rFonts w:ascii="Palatino Linotype" w:hAnsi="Palatino Linotype"/>
          <w:sz w:val="24"/>
          <w:szCs w:val="24"/>
        </w:rPr>
      </w:pPr>
      <w:r w:rsidRPr="00391391">
        <w:rPr>
          <w:rFonts w:ascii="Palatino Linotype" w:hAnsi="Palatino Linotype"/>
          <w:sz w:val="24"/>
          <w:szCs w:val="24"/>
        </w:rPr>
        <w:t>Edit the on-line PPPM for consistency, accuracy, and clarity</w:t>
      </w:r>
    </w:p>
    <w:p w:rsidR="00911B77" w:rsidRPr="00391391" w:rsidRDefault="00911B77" w:rsidP="006D6F0D">
      <w:pPr>
        <w:pStyle w:val="ListParagraph"/>
        <w:numPr>
          <w:ilvl w:val="0"/>
          <w:numId w:val="5"/>
        </w:numPr>
        <w:jc w:val="both"/>
        <w:rPr>
          <w:rFonts w:ascii="Palatino Linotype" w:hAnsi="Palatino Linotype"/>
          <w:sz w:val="24"/>
          <w:szCs w:val="24"/>
        </w:rPr>
      </w:pPr>
      <w:r w:rsidRPr="00391391">
        <w:rPr>
          <w:rFonts w:ascii="Palatino Linotype" w:hAnsi="Palatino Linotype"/>
          <w:sz w:val="24"/>
          <w:szCs w:val="24"/>
        </w:rPr>
        <w:t>Organize the PPPM for user-friendliness</w:t>
      </w:r>
    </w:p>
    <w:p w:rsidR="00911B77" w:rsidRPr="00391391" w:rsidRDefault="00911B77" w:rsidP="006D6F0D">
      <w:pPr>
        <w:pStyle w:val="ListParagraph"/>
        <w:numPr>
          <w:ilvl w:val="0"/>
          <w:numId w:val="5"/>
        </w:numPr>
        <w:jc w:val="both"/>
        <w:rPr>
          <w:rFonts w:ascii="Palatino Linotype" w:hAnsi="Palatino Linotype"/>
          <w:sz w:val="24"/>
          <w:szCs w:val="24"/>
        </w:rPr>
      </w:pPr>
      <w:r w:rsidRPr="00391391">
        <w:rPr>
          <w:rFonts w:ascii="Palatino Linotype" w:hAnsi="Palatino Linotype"/>
          <w:sz w:val="24"/>
          <w:szCs w:val="24"/>
        </w:rPr>
        <w:t>Develop a process to track changes in the PPPM</w:t>
      </w:r>
    </w:p>
    <w:p w:rsidR="00911B77" w:rsidRPr="00391391" w:rsidRDefault="00911B77" w:rsidP="006D6F0D">
      <w:pPr>
        <w:pStyle w:val="ListParagraph"/>
        <w:numPr>
          <w:ilvl w:val="0"/>
          <w:numId w:val="5"/>
        </w:numPr>
        <w:jc w:val="both"/>
        <w:rPr>
          <w:rFonts w:ascii="Palatino Linotype" w:hAnsi="Palatino Linotype"/>
          <w:sz w:val="24"/>
          <w:szCs w:val="24"/>
        </w:rPr>
      </w:pPr>
      <w:r w:rsidRPr="00391391">
        <w:rPr>
          <w:rFonts w:ascii="Palatino Linotype" w:hAnsi="Palatino Linotype"/>
          <w:sz w:val="24"/>
          <w:szCs w:val="24"/>
        </w:rPr>
        <w:t>Improve the usefulness of the index</w:t>
      </w:r>
    </w:p>
    <w:p w:rsidR="00911B77" w:rsidRPr="00391391" w:rsidRDefault="00911B77" w:rsidP="006D6F0D">
      <w:pPr>
        <w:pStyle w:val="ListParagraph"/>
        <w:numPr>
          <w:ilvl w:val="0"/>
          <w:numId w:val="5"/>
        </w:numPr>
        <w:jc w:val="both"/>
        <w:rPr>
          <w:rFonts w:ascii="Palatino Linotype" w:hAnsi="Palatino Linotype"/>
          <w:sz w:val="24"/>
          <w:szCs w:val="24"/>
        </w:rPr>
      </w:pPr>
      <w:r w:rsidRPr="00391391">
        <w:rPr>
          <w:rFonts w:ascii="Palatino Linotype" w:hAnsi="Palatino Linotype"/>
          <w:sz w:val="24"/>
          <w:szCs w:val="24"/>
        </w:rPr>
        <w:t xml:space="preserve">Develop an outline for a faculty handbook or guidebook, grouping together information that </w:t>
      </w:r>
      <w:r w:rsidR="00B27550">
        <w:rPr>
          <w:rFonts w:ascii="Palatino Linotype" w:hAnsi="Palatino Linotype"/>
          <w:sz w:val="24"/>
          <w:szCs w:val="24"/>
        </w:rPr>
        <w:t>faculty would find most useful.</w:t>
      </w:r>
    </w:p>
    <w:p w:rsidR="00911B77" w:rsidRPr="00391391" w:rsidRDefault="00911B77" w:rsidP="006D6F0D">
      <w:pPr>
        <w:numPr>
          <w:ilvl w:val="0"/>
          <w:numId w:val="3"/>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 xml:space="preserve">From the original to revised version, some procedures were changed to reflect current practices. </w:t>
      </w:r>
      <w:r w:rsidR="00176B6B">
        <w:rPr>
          <w:rFonts w:ascii="Palatino Linotype" w:eastAsia="Times New Roman" w:hAnsi="Palatino Linotype" w:cs="Times New Roman"/>
          <w:color w:val="000000"/>
          <w:sz w:val="24"/>
          <w:szCs w:val="24"/>
        </w:rPr>
        <w:br/>
      </w:r>
    </w:p>
    <w:p w:rsidR="00911B77" w:rsidRPr="00391391" w:rsidRDefault="00911B77" w:rsidP="006D6F0D">
      <w:pPr>
        <w:numPr>
          <w:ilvl w:val="0"/>
          <w:numId w:val="3"/>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Throughout the document where appropriate, text was replaced with web links to BOR policies &amp; procedures. This was done to take readers to source documents rather than having to constantly update passages in the PPPM when sources change.</w:t>
      </w:r>
      <w:r w:rsidR="00176B6B">
        <w:rPr>
          <w:rFonts w:ascii="Palatino Linotype" w:eastAsia="Times New Roman" w:hAnsi="Palatino Linotype" w:cs="Times New Roman"/>
          <w:color w:val="000000"/>
          <w:sz w:val="24"/>
          <w:szCs w:val="24"/>
        </w:rPr>
        <w:br/>
      </w:r>
    </w:p>
    <w:p w:rsidR="00DF4BA7" w:rsidRPr="00B27550" w:rsidRDefault="00911B77" w:rsidP="00B27550">
      <w:pPr>
        <w:pStyle w:val="ListParagraph"/>
        <w:widowControl w:val="0"/>
        <w:numPr>
          <w:ilvl w:val="0"/>
          <w:numId w:val="3"/>
        </w:numPr>
        <w:autoSpaceDE w:val="0"/>
        <w:autoSpaceDN w:val="0"/>
        <w:adjustRightInd w:val="0"/>
        <w:jc w:val="both"/>
        <w:rPr>
          <w:rFonts w:ascii="Palatino Linotype" w:hAnsi="Palatino Linotype" w:cs="Calibri"/>
          <w:sz w:val="20"/>
          <w:szCs w:val="20"/>
        </w:rPr>
      </w:pPr>
      <w:r w:rsidRPr="00B27550">
        <w:rPr>
          <w:rFonts w:ascii="Palatino Linotype" w:eastAsia="Times New Roman" w:hAnsi="Palatino Linotype" w:cs="Times New Roman"/>
          <w:color w:val="000000"/>
          <w:sz w:val="24"/>
          <w:szCs w:val="24"/>
        </w:rPr>
        <w:t>There are still areas in need of Senate attention and the following list includes items that ECUS should route to the appropriate Senate Committee for action.</w:t>
      </w:r>
      <w:r w:rsidR="00DF4BA7" w:rsidRPr="00B27550">
        <w:rPr>
          <w:rFonts w:ascii="Palatino Linotype" w:hAnsi="Palatino Linotype" w:cs="Calibri"/>
          <w:sz w:val="20"/>
          <w:szCs w:val="20"/>
        </w:rPr>
        <w:t xml:space="preserve"> </w:t>
      </w:r>
    </w:p>
    <w:p w:rsidR="00911B77" w:rsidRPr="00DF4BA7" w:rsidRDefault="00911B77" w:rsidP="006D6F0D">
      <w:pPr>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DF4BA7">
        <w:rPr>
          <w:rFonts w:ascii="Palatino Linotype" w:eastAsia="Times New Roman" w:hAnsi="Palatino Linotype" w:cs="Times New Roman"/>
          <w:color w:val="000000"/>
          <w:sz w:val="24"/>
          <w:szCs w:val="24"/>
        </w:rPr>
        <w:t>Graduate Faculty, Criteria for (II.B.7):  needs to be updated</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Academic Freedom (II.E.1):  source of this is not stated; should be looked at for updating</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Professional Ethics (II.E.2): should be looked at for updating</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Professionalism in an Academic Setting for Faculty and Staff (II.E.3): should be looked at for updating</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 xml:space="preserve">Student Opinion Survey (II.H.3.c. 1 and II.H.3.c.2) and entire section on Faculty Performance Evaluation (II.H—II.H.4.d): should be reviewed and updated </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 xml:space="preserve">Termination of Employment (II.I): does not include, as </w:t>
      </w:r>
      <w:proofErr w:type="spellStart"/>
      <w:r w:rsidRPr="00391391">
        <w:rPr>
          <w:rFonts w:ascii="Palatino Linotype" w:eastAsia="Times New Roman" w:hAnsi="Palatino Linotype" w:cs="Times New Roman"/>
          <w:sz w:val="24"/>
          <w:szCs w:val="24"/>
        </w:rPr>
        <w:t>BoR</w:t>
      </w:r>
      <w:proofErr w:type="spellEnd"/>
      <w:r w:rsidRPr="00391391">
        <w:rPr>
          <w:rFonts w:ascii="Palatino Linotype" w:eastAsia="Times New Roman" w:hAnsi="Palatino Linotype" w:cs="Times New Roman"/>
          <w:sz w:val="24"/>
          <w:szCs w:val="24"/>
        </w:rPr>
        <w:t xml:space="preserve"> Policy Manual calls for, institutional policy on actions short of dismissal</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Removal of Faculty Members, Procedures for (II.1.2):</w:t>
      </w:r>
      <w:r w:rsidRPr="00391391">
        <w:rPr>
          <w:rFonts w:ascii="Palatino Linotype" w:eastAsia="Times New Roman" w:hAnsi="Palatino Linotype" w:cs="Times New Roman"/>
          <w:sz w:val="24"/>
          <w:szCs w:val="24"/>
        </w:rPr>
        <w:t xml:space="preserve"> does not include </w:t>
      </w:r>
      <w:proofErr w:type="spellStart"/>
      <w:r w:rsidRPr="00391391">
        <w:rPr>
          <w:rFonts w:ascii="Palatino Linotype" w:eastAsia="Times New Roman" w:hAnsi="Palatino Linotype" w:cs="Times New Roman"/>
          <w:sz w:val="24"/>
          <w:szCs w:val="24"/>
        </w:rPr>
        <w:t>BoR</w:t>
      </w:r>
      <w:proofErr w:type="spellEnd"/>
      <w:r w:rsidRPr="00391391">
        <w:rPr>
          <w:rFonts w:ascii="Palatino Linotype" w:eastAsia="Times New Roman" w:hAnsi="Palatino Linotype" w:cs="Times New Roman"/>
          <w:sz w:val="24"/>
          <w:szCs w:val="24"/>
        </w:rPr>
        <w:t xml:space="preserve"> Policy Manual section on reasons for removal</w:t>
      </w:r>
    </w:p>
    <w:p w:rsidR="00911B77" w:rsidRPr="00391391" w:rsidRDefault="00911B77" w:rsidP="006D6F0D">
      <w:pPr>
        <w:pStyle w:val="ListParagraph"/>
        <w:numPr>
          <w:ilvl w:val="0"/>
          <w:numId w:val="4"/>
        </w:numPr>
        <w:spacing w:before="100" w:beforeAutospacing="1" w:after="100" w:afterAutospacing="1" w:line="240" w:lineRule="auto"/>
        <w:jc w:val="both"/>
        <w:rPr>
          <w:rFonts w:ascii="Palatino Linotype" w:eastAsia="Times New Roman" w:hAnsi="Palatino Linotype" w:cs="Times New Roman"/>
          <w:color w:val="000000"/>
          <w:sz w:val="24"/>
          <w:szCs w:val="24"/>
        </w:rPr>
      </w:pPr>
      <w:r w:rsidRPr="00391391">
        <w:rPr>
          <w:rFonts w:ascii="Palatino Linotype" w:eastAsia="Times New Roman" w:hAnsi="Palatino Linotype" w:cs="Times New Roman"/>
          <w:color w:val="000000"/>
          <w:sz w:val="24"/>
          <w:szCs w:val="24"/>
        </w:rPr>
        <w:t>New Program Proposals (III.B.4):  graduate programs are to be reviewed by “graduate faculty;” no organization for this exists. Entry does not include anything on termination of progr</w:t>
      </w:r>
      <w:bookmarkStart w:id="0" w:name="_GoBack"/>
      <w:bookmarkEnd w:id="0"/>
      <w:r w:rsidRPr="00391391">
        <w:rPr>
          <w:rFonts w:ascii="Palatino Linotype" w:eastAsia="Times New Roman" w:hAnsi="Palatino Linotype" w:cs="Times New Roman"/>
          <w:color w:val="000000"/>
          <w:sz w:val="24"/>
          <w:szCs w:val="24"/>
        </w:rPr>
        <w:t>ams</w:t>
      </w:r>
    </w:p>
    <w:p w:rsidR="00DF4BA7" w:rsidRPr="00E2663A" w:rsidRDefault="00911B77" w:rsidP="006D6F0D">
      <w:pPr>
        <w:widowControl w:val="0"/>
        <w:autoSpaceDE w:val="0"/>
        <w:autoSpaceDN w:val="0"/>
        <w:adjustRightInd w:val="0"/>
        <w:ind w:left="960" w:hanging="480"/>
        <w:jc w:val="both"/>
        <w:rPr>
          <w:rFonts w:ascii="Palatino Linotype" w:hAnsi="Palatino Linotype" w:cs="Calibri"/>
          <w:sz w:val="20"/>
          <w:szCs w:val="20"/>
        </w:rPr>
      </w:pPr>
      <w:r w:rsidRPr="00391391">
        <w:rPr>
          <w:rFonts w:ascii="Palatino Linotype" w:hAnsi="Palatino Linotype"/>
          <w:sz w:val="24"/>
          <w:szCs w:val="24"/>
        </w:rPr>
        <w:t xml:space="preserve">5. </w:t>
      </w:r>
      <w:r w:rsidRPr="00391391">
        <w:rPr>
          <w:rFonts w:ascii="Palatino Linotype" w:hAnsi="Palatino Linotype"/>
          <w:sz w:val="24"/>
          <w:szCs w:val="24"/>
        </w:rPr>
        <w:tab/>
        <w:t>A copy of the old PPPM will be made available for reader</w:t>
      </w:r>
      <w:r w:rsidR="00DF4BA7">
        <w:rPr>
          <w:rFonts w:ascii="Palatino Linotype" w:hAnsi="Palatino Linotype"/>
          <w:sz w:val="24"/>
          <w:szCs w:val="24"/>
        </w:rPr>
        <w:t xml:space="preserve">s wishing to compare versions. </w:t>
      </w:r>
      <w:r w:rsidRPr="00391391">
        <w:rPr>
          <w:rFonts w:ascii="Palatino Linotype" w:hAnsi="Palatino Linotype"/>
          <w:sz w:val="24"/>
          <w:szCs w:val="24"/>
        </w:rPr>
        <w:t>Contact Tom Ormond for access to this document.</w:t>
      </w:r>
      <w:r w:rsidR="00DF4BA7" w:rsidRPr="00DF4BA7">
        <w:rPr>
          <w:rFonts w:ascii="Palatino Linotype" w:hAnsi="Palatino Linotype" w:cs="Calibri"/>
          <w:sz w:val="20"/>
          <w:szCs w:val="20"/>
        </w:rPr>
        <w:t xml:space="preserve"> </w:t>
      </w:r>
    </w:p>
    <w:sectPr w:rsidR="00DF4BA7" w:rsidRPr="00E2663A" w:rsidSect="006D6F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28B5"/>
    <w:multiLevelType w:val="hybridMultilevel"/>
    <w:tmpl w:val="C028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DF677F"/>
    <w:multiLevelType w:val="multilevel"/>
    <w:tmpl w:val="B89CD7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9928F9"/>
    <w:multiLevelType w:val="hybridMultilevel"/>
    <w:tmpl w:val="046CE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BE3983"/>
    <w:multiLevelType w:val="hybridMultilevel"/>
    <w:tmpl w:val="30DC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B1B24"/>
    <w:multiLevelType w:val="hybridMultilevel"/>
    <w:tmpl w:val="18A6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77"/>
    <w:rsid w:val="00011E87"/>
    <w:rsid w:val="0010425E"/>
    <w:rsid w:val="00176B6B"/>
    <w:rsid w:val="00391391"/>
    <w:rsid w:val="005C6D77"/>
    <w:rsid w:val="006D6F0D"/>
    <w:rsid w:val="00770BBF"/>
    <w:rsid w:val="00911B77"/>
    <w:rsid w:val="00964678"/>
    <w:rsid w:val="00A6571F"/>
    <w:rsid w:val="00AE5268"/>
    <w:rsid w:val="00B27550"/>
    <w:rsid w:val="00B907CF"/>
    <w:rsid w:val="00DF4BA7"/>
    <w:rsid w:val="00E2663A"/>
    <w:rsid w:val="00EA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su.edu/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Brown</dc:creator>
  <cp:lastModifiedBy>craig.turner</cp:lastModifiedBy>
  <cp:revision>2</cp:revision>
  <cp:lastPrinted>2013-10-25T12:52:00Z</cp:lastPrinted>
  <dcterms:created xsi:type="dcterms:W3CDTF">2013-10-26T16:40:00Z</dcterms:created>
  <dcterms:modified xsi:type="dcterms:W3CDTF">2013-10-26T16:40:00Z</dcterms:modified>
</cp:coreProperties>
</file>