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00" w:rsidRPr="00B11C50" w:rsidRDefault="0014666D" w:rsidP="0014666D">
      <w:pPr>
        <w:rPr>
          <w:b/>
          <w:bCs/>
          <w:smallCaps/>
          <w:sz w:val="28"/>
          <w:szCs w:val="28"/>
        </w:rPr>
      </w:pPr>
      <w:r w:rsidRPr="00B11C50">
        <w:rPr>
          <w:b/>
          <w:bCs/>
          <w:smallCaps/>
          <w:sz w:val="28"/>
          <w:szCs w:val="28"/>
        </w:rPr>
        <w:t>Committee Name:</w:t>
      </w:r>
      <w:r w:rsidR="00131DEA">
        <w:rPr>
          <w:b/>
          <w:bCs/>
          <w:smallCaps/>
          <w:sz w:val="28"/>
          <w:szCs w:val="28"/>
        </w:rPr>
        <w:t xml:space="preserve"> Faculty Affairs Policy Committee</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131DEA">
        <w:rPr>
          <w:b/>
          <w:bCs/>
          <w:smallCaps/>
          <w:sz w:val="28"/>
          <w:szCs w:val="28"/>
        </w:rPr>
        <w:t>Friday, October 2, 2:00PM</w:t>
      </w:r>
    </w:p>
    <w:p w:rsidR="00973FD5" w:rsidRPr="00B11C50" w:rsidRDefault="0014666D" w:rsidP="0014666D">
      <w:pPr>
        <w:rPr>
          <w:b/>
          <w:bCs/>
          <w:smallCaps/>
          <w:sz w:val="28"/>
          <w:szCs w:val="28"/>
        </w:rPr>
      </w:pPr>
      <w:r w:rsidRPr="00B11C50">
        <w:rPr>
          <w:b/>
          <w:bCs/>
          <w:smallCaps/>
          <w:sz w:val="28"/>
          <w:szCs w:val="28"/>
        </w:rPr>
        <w:t xml:space="preserve">Meeting Location: </w:t>
      </w:r>
      <w:r w:rsidR="00131DEA">
        <w:rPr>
          <w:b/>
          <w:bCs/>
          <w:smallCaps/>
          <w:sz w:val="28"/>
          <w:szCs w:val="28"/>
        </w:rPr>
        <w:t>Herty Hall 252</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131DEA" w:rsidTr="000F4925">
        <w:trPr>
          <w:trHeight w:val="243"/>
        </w:trPr>
        <w:tc>
          <w:tcPr>
            <w:tcW w:w="720" w:type="dxa"/>
            <w:tcBorders>
              <w:top w:val="thinThickSmallGap" w:sz="24" w:space="0" w:color="auto"/>
            </w:tcBorders>
            <w:vAlign w:val="center"/>
          </w:tcPr>
          <w:p w:rsidR="00131DEA" w:rsidRPr="000507F8" w:rsidRDefault="00F61225" w:rsidP="00131DEA">
            <w:pPr>
              <w:rPr>
                <w:sz w:val="36"/>
                <w:szCs w:val="36"/>
              </w:rPr>
            </w:pPr>
            <w:r>
              <w:rPr>
                <w:sz w:val="36"/>
                <w:szCs w:val="36"/>
              </w:rPr>
              <w:t>R</w:t>
            </w:r>
          </w:p>
        </w:tc>
        <w:tc>
          <w:tcPr>
            <w:tcW w:w="6120" w:type="dxa"/>
            <w:tcBorders>
              <w:top w:val="thinThickSmallGap" w:sz="24" w:space="0" w:color="auto"/>
            </w:tcBorders>
            <w:vAlign w:val="center"/>
          </w:tcPr>
          <w:p w:rsidR="00131DEA" w:rsidRPr="000F4925" w:rsidRDefault="00131DEA" w:rsidP="00131DEA">
            <w:r>
              <w:t>Karen Berman</w:t>
            </w:r>
          </w:p>
        </w:tc>
        <w:tc>
          <w:tcPr>
            <w:tcW w:w="540" w:type="dxa"/>
            <w:tcBorders>
              <w:top w:val="thinThickSmallGap" w:sz="24" w:space="0" w:color="auto"/>
            </w:tcBorders>
            <w:vAlign w:val="center"/>
          </w:tcPr>
          <w:p w:rsidR="00131DEA" w:rsidRPr="000507F8" w:rsidRDefault="00F61225" w:rsidP="00131DEA">
            <w:pPr>
              <w:rPr>
                <w:sz w:val="36"/>
                <w:szCs w:val="36"/>
              </w:rPr>
            </w:pPr>
            <w:r>
              <w:rPr>
                <w:sz w:val="36"/>
                <w:szCs w:val="36"/>
              </w:rPr>
              <w:t>R</w:t>
            </w:r>
          </w:p>
        </w:tc>
        <w:tc>
          <w:tcPr>
            <w:tcW w:w="6660" w:type="dxa"/>
            <w:tcBorders>
              <w:top w:val="thinThickSmallGap" w:sz="24" w:space="0" w:color="auto"/>
            </w:tcBorders>
            <w:vAlign w:val="center"/>
          </w:tcPr>
          <w:p w:rsidR="00131DEA" w:rsidRPr="000F4925" w:rsidRDefault="00131DEA" w:rsidP="00131DEA">
            <w:r>
              <w:t>Joe Mocnik</w:t>
            </w:r>
          </w:p>
        </w:tc>
      </w:tr>
      <w:tr w:rsidR="00131DEA" w:rsidTr="000F4925">
        <w:trPr>
          <w:trHeight w:val="161"/>
        </w:trPr>
        <w:tc>
          <w:tcPr>
            <w:tcW w:w="720" w:type="dxa"/>
            <w:vAlign w:val="center"/>
          </w:tcPr>
          <w:p w:rsidR="00131DEA" w:rsidRPr="000507F8" w:rsidRDefault="00F61225" w:rsidP="00131DEA">
            <w:pPr>
              <w:rPr>
                <w:sz w:val="36"/>
                <w:szCs w:val="36"/>
              </w:rPr>
            </w:pPr>
            <w:r>
              <w:rPr>
                <w:sz w:val="36"/>
                <w:szCs w:val="36"/>
              </w:rPr>
              <w:t>P</w:t>
            </w:r>
          </w:p>
        </w:tc>
        <w:tc>
          <w:tcPr>
            <w:tcW w:w="6120" w:type="dxa"/>
            <w:vAlign w:val="center"/>
          </w:tcPr>
          <w:p w:rsidR="00131DEA" w:rsidRPr="000F4925" w:rsidRDefault="00131DEA" w:rsidP="00131DEA">
            <w:r>
              <w:t>Alex Blazer</w:t>
            </w:r>
          </w:p>
        </w:tc>
        <w:tc>
          <w:tcPr>
            <w:tcW w:w="540" w:type="dxa"/>
            <w:vAlign w:val="center"/>
          </w:tcPr>
          <w:p w:rsidR="00131DEA" w:rsidRPr="000507F8" w:rsidRDefault="00F61225" w:rsidP="00131DEA">
            <w:pPr>
              <w:rPr>
                <w:sz w:val="36"/>
                <w:szCs w:val="36"/>
              </w:rPr>
            </w:pPr>
            <w:r>
              <w:rPr>
                <w:sz w:val="36"/>
                <w:szCs w:val="36"/>
              </w:rPr>
              <w:t>P</w:t>
            </w:r>
          </w:p>
        </w:tc>
        <w:tc>
          <w:tcPr>
            <w:tcW w:w="6660" w:type="dxa"/>
            <w:vAlign w:val="center"/>
          </w:tcPr>
          <w:p w:rsidR="00131DEA" w:rsidRPr="000F4925" w:rsidRDefault="00131DEA" w:rsidP="00131DEA">
            <w:r>
              <w:t>Barbara Roquemore</w:t>
            </w:r>
          </w:p>
        </w:tc>
      </w:tr>
      <w:tr w:rsidR="00131DEA" w:rsidTr="000F4925">
        <w:trPr>
          <w:trHeight w:val="161"/>
        </w:trPr>
        <w:tc>
          <w:tcPr>
            <w:tcW w:w="720" w:type="dxa"/>
            <w:vAlign w:val="center"/>
          </w:tcPr>
          <w:p w:rsidR="00131DEA" w:rsidRPr="000507F8" w:rsidRDefault="00F61225" w:rsidP="00131DEA">
            <w:pPr>
              <w:rPr>
                <w:sz w:val="36"/>
                <w:szCs w:val="36"/>
              </w:rPr>
            </w:pPr>
            <w:r>
              <w:rPr>
                <w:sz w:val="36"/>
                <w:szCs w:val="36"/>
              </w:rPr>
              <w:t>P</w:t>
            </w:r>
          </w:p>
        </w:tc>
        <w:tc>
          <w:tcPr>
            <w:tcW w:w="6120" w:type="dxa"/>
            <w:vAlign w:val="center"/>
          </w:tcPr>
          <w:p w:rsidR="00131DEA" w:rsidRPr="000F4925" w:rsidRDefault="00131DEA" w:rsidP="00131DEA">
            <w:r>
              <w:t>Louis Bourne</w:t>
            </w:r>
          </w:p>
        </w:tc>
        <w:tc>
          <w:tcPr>
            <w:tcW w:w="540" w:type="dxa"/>
            <w:vAlign w:val="center"/>
          </w:tcPr>
          <w:p w:rsidR="00131DEA" w:rsidRPr="000507F8" w:rsidRDefault="00F61225" w:rsidP="00131DEA">
            <w:pPr>
              <w:rPr>
                <w:sz w:val="36"/>
                <w:szCs w:val="36"/>
              </w:rPr>
            </w:pPr>
            <w:r>
              <w:rPr>
                <w:sz w:val="36"/>
                <w:szCs w:val="36"/>
              </w:rPr>
              <w:t>P</w:t>
            </w:r>
          </w:p>
        </w:tc>
        <w:tc>
          <w:tcPr>
            <w:tcW w:w="6660" w:type="dxa"/>
            <w:vAlign w:val="center"/>
          </w:tcPr>
          <w:p w:rsidR="00131DEA" w:rsidRPr="000F4925" w:rsidRDefault="00131DEA" w:rsidP="00131DEA">
            <w:r>
              <w:t>Mike Rose</w:t>
            </w:r>
          </w:p>
        </w:tc>
      </w:tr>
      <w:tr w:rsidR="00131DEA" w:rsidTr="000F4925">
        <w:trPr>
          <w:trHeight w:val="161"/>
        </w:trPr>
        <w:tc>
          <w:tcPr>
            <w:tcW w:w="720" w:type="dxa"/>
            <w:vAlign w:val="center"/>
          </w:tcPr>
          <w:p w:rsidR="00131DEA" w:rsidRPr="000507F8" w:rsidRDefault="00F61225" w:rsidP="00131DEA">
            <w:pPr>
              <w:rPr>
                <w:sz w:val="36"/>
                <w:szCs w:val="36"/>
              </w:rPr>
            </w:pPr>
            <w:r>
              <w:rPr>
                <w:sz w:val="36"/>
                <w:szCs w:val="36"/>
              </w:rPr>
              <w:t>P</w:t>
            </w:r>
          </w:p>
        </w:tc>
        <w:tc>
          <w:tcPr>
            <w:tcW w:w="6120" w:type="dxa"/>
            <w:vAlign w:val="center"/>
          </w:tcPr>
          <w:p w:rsidR="00131DEA" w:rsidRPr="000F4925" w:rsidRDefault="00131DEA" w:rsidP="00131DEA">
            <w:r>
              <w:t>Ryan Brown</w:t>
            </w:r>
          </w:p>
        </w:tc>
        <w:tc>
          <w:tcPr>
            <w:tcW w:w="540" w:type="dxa"/>
            <w:vAlign w:val="center"/>
          </w:tcPr>
          <w:p w:rsidR="00131DEA" w:rsidRPr="000507F8" w:rsidRDefault="00F61225" w:rsidP="00131DEA">
            <w:pPr>
              <w:rPr>
                <w:sz w:val="36"/>
                <w:szCs w:val="36"/>
              </w:rPr>
            </w:pPr>
            <w:r>
              <w:rPr>
                <w:sz w:val="36"/>
                <w:szCs w:val="36"/>
              </w:rPr>
              <w:t>P</w:t>
            </w:r>
          </w:p>
        </w:tc>
        <w:tc>
          <w:tcPr>
            <w:tcW w:w="6660" w:type="dxa"/>
            <w:vAlign w:val="center"/>
          </w:tcPr>
          <w:p w:rsidR="00131DEA" w:rsidRPr="000F4925" w:rsidRDefault="00131DEA" w:rsidP="00131DEA">
            <w:r>
              <w:t>Katie Simon</w:t>
            </w:r>
          </w:p>
        </w:tc>
      </w:tr>
      <w:tr w:rsidR="00131DEA" w:rsidTr="000F4925">
        <w:trPr>
          <w:trHeight w:val="161"/>
        </w:trPr>
        <w:tc>
          <w:tcPr>
            <w:tcW w:w="720" w:type="dxa"/>
            <w:vAlign w:val="center"/>
          </w:tcPr>
          <w:p w:rsidR="00131DEA" w:rsidRPr="000507F8" w:rsidRDefault="00F61225" w:rsidP="00131DEA">
            <w:pPr>
              <w:rPr>
                <w:sz w:val="36"/>
                <w:szCs w:val="36"/>
              </w:rPr>
            </w:pPr>
            <w:r>
              <w:rPr>
                <w:sz w:val="36"/>
                <w:szCs w:val="36"/>
              </w:rPr>
              <w:t>P</w:t>
            </w:r>
          </w:p>
        </w:tc>
        <w:tc>
          <w:tcPr>
            <w:tcW w:w="6120" w:type="dxa"/>
            <w:vAlign w:val="center"/>
          </w:tcPr>
          <w:p w:rsidR="00131DEA" w:rsidRPr="000F4925" w:rsidRDefault="00131DEA" w:rsidP="00131DEA">
            <w:r>
              <w:t>Rodica Cazacu</w:t>
            </w:r>
          </w:p>
        </w:tc>
        <w:tc>
          <w:tcPr>
            <w:tcW w:w="540" w:type="dxa"/>
            <w:vAlign w:val="center"/>
          </w:tcPr>
          <w:p w:rsidR="00131DEA" w:rsidRPr="000507F8" w:rsidRDefault="00F61225" w:rsidP="00131DEA">
            <w:pPr>
              <w:rPr>
                <w:sz w:val="36"/>
                <w:szCs w:val="36"/>
              </w:rPr>
            </w:pPr>
            <w:r>
              <w:rPr>
                <w:sz w:val="36"/>
                <w:szCs w:val="36"/>
              </w:rPr>
              <w:t>P</w:t>
            </w:r>
          </w:p>
        </w:tc>
        <w:tc>
          <w:tcPr>
            <w:tcW w:w="6660" w:type="dxa"/>
            <w:vAlign w:val="center"/>
          </w:tcPr>
          <w:p w:rsidR="00131DEA" w:rsidRPr="000F4925" w:rsidRDefault="00131DEA" w:rsidP="00131DEA">
            <w:r>
              <w:t>Tom Toney</w:t>
            </w:r>
          </w:p>
        </w:tc>
      </w:tr>
      <w:tr w:rsidR="00131DEA" w:rsidTr="000F4925">
        <w:trPr>
          <w:trHeight w:val="278"/>
        </w:trPr>
        <w:tc>
          <w:tcPr>
            <w:tcW w:w="720" w:type="dxa"/>
            <w:vAlign w:val="center"/>
          </w:tcPr>
          <w:p w:rsidR="00131DEA" w:rsidRPr="000507F8" w:rsidRDefault="00F61225" w:rsidP="00131DEA">
            <w:pPr>
              <w:rPr>
                <w:sz w:val="36"/>
                <w:szCs w:val="36"/>
              </w:rPr>
            </w:pPr>
            <w:r>
              <w:rPr>
                <w:sz w:val="36"/>
                <w:szCs w:val="36"/>
              </w:rPr>
              <w:t>P</w:t>
            </w:r>
          </w:p>
        </w:tc>
        <w:tc>
          <w:tcPr>
            <w:tcW w:w="6120" w:type="dxa"/>
            <w:vAlign w:val="center"/>
          </w:tcPr>
          <w:p w:rsidR="00131DEA" w:rsidRPr="000F4925" w:rsidRDefault="00131DEA" w:rsidP="00131DEA">
            <w:r>
              <w:t>Carol Christy</w:t>
            </w:r>
          </w:p>
        </w:tc>
        <w:tc>
          <w:tcPr>
            <w:tcW w:w="540" w:type="dxa"/>
            <w:vAlign w:val="center"/>
          </w:tcPr>
          <w:p w:rsidR="00131DEA" w:rsidRPr="000507F8" w:rsidRDefault="00131DEA" w:rsidP="00131DEA">
            <w:pPr>
              <w:rPr>
                <w:sz w:val="36"/>
                <w:szCs w:val="36"/>
              </w:rPr>
            </w:pPr>
            <w:r>
              <w:rPr>
                <w:sz w:val="36"/>
                <w:szCs w:val="36"/>
              </w:rPr>
              <w:t>R</w:t>
            </w:r>
          </w:p>
        </w:tc>
        <w:tc>
          <w:tcPr>
            <w:tcW w:w="6660" w:type="dxa"/>
            <w:vAlign w:val="center"/>
          </w:tcPr>
          <w:p w:rsidR="00131DEA" w:rsidRPr="000F4925" w:rsidRDefault="00131DEA" w:rsidP="00131DEA">
            <w:r>
              <w:t>Howard Woodard</w:t>
            </w:r>
          </w:p>
        </w:tc>
      </w:tr>
      <w:tr w:rsidR="00131DEA" w:rsidTr="000F4925">
        <w:trPr>
          <w:trHeight w:val="278"/>
        </w:trPr>
        <w:tc>
          <w:tcPr>
            <w:tcW w:w="720" w:type="dxa"/>
            <w:vAlign w:val="center"/>
          </w:tcPr>
          <w:p w:rsidR="00131DEA" w:rsidRPr="000507F8" w:rsidRDefault="00F61225" w:rsidP="00131DEA">
            <w:pPr>
              <w:rPr>
                <w:sz w:val="36"/>
                <w:szCs w:val="36"/>
              </w:rPr>
            </w:pPr>
            <w:r>
              <w:rPr>
                <w:sz w:val="36"/>
                <w:szCs w:val="36"/>
              </w:rPr>
              <w:t>P</w:t>
            </w:r>
          </w:p>
        </w:tc>
        <w:tc>
          <w:tcPr>
            <w:tcW w:w="6120" w:type="dxa"/>
            <w:vAlign w:val="center"/>
          </w:tcPr>
          <w:p w:rsidR="00131DEA" w:rsidRPr="000F4925" w:rsidRDefault="00131DEA" w:rsidP="00131DEA">
            <w:r>
              <w:t>Douglas Goings</w:t>
            </w:r>
          </w:p>
        </w:tc>
        <w:tc>
          <w:tcPr>
            <w:tcW w:w="540" w:type="dxa"/>
            <w:vAlign w:val="center"/>
          </w:tcPr>
          <w:p w:rsidR="00131DEA" w:rsidRPr="000507F8" w:rsidRDefault="00131DEA" w:rsidP="00131DEA">
            <w:pPr>
              <w:rPr>
                <w:sz w:val="36"/>
                <w:szCs w:val="36"/>
              </w:rPr>
            </w:pPr>
          </w:p>
        </w:tc>
        <w:tc>
          <w:tcPr>
            <w:tcW w:w="6660" w:type="dxa"/>
            <w:vAlign w:val="center"/>
          </w:tcPr>
          <w:p w:rsidR="00131DEA" w:rsidRPr="000F4925" w:rsidRDefault="00131DEA" w:rsidP="00131DEA"/>
        </w:tc>
      </w:tr>
      <w:tr w:rsidR="00131DEA"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131DEA" w:rsidRPr="00750727" w:rsidRDefault="00131DEA" w:rsidP="00131DEA">
            <w:pPr>
              <w:pStyle w:val="Heading1"/>
              <w:rPr>
                <w:smallCaps/>
              </w:rPr>
            </w:pPr>
            <w:r w:rsidRPr="00750727">
              <w:rPr>
                <w:smallCaps/>
                <w:sz w:val="28"/>
                <w:szCs w:val="28"/>
              </w:rPr>
              <w:t>Guests</w:t>
            </w:r>
          </w:p>
        </w:tc>
      </w:tr>
      <w:tr w:rsidR="00131DEA">
        <w:trPr>
          <w:trHeight w:val="225"/>
        </w:trPr>
        <w:tc>
          <w:tcPr>
            <w:tcW w:w="720" w:type="dxa"/>
            <w:tcBorders>
              <w:top w:val="thinThickSmallGap" w:sz="24" w:space="0" w:color="auto"/>
            </w:tcBorders>
          </w:tcPr>
          <w:p w:rsidR="00131DEA" w:rsidRDefault="00131DEA" w:rsidP="00131DEA">
            <w:pPr>
              <w:jc w:val="center"/>
              <w:rPr>
                <w:sz w:val="20"/>
              </w:rPr>
            </w:pPr>
          </w:p>
        </w:tc>
        <w:tc>
          <w:tcPr>
            <w:tcW w:w="6120" w:type="dxa"/>
            <w:tcBorders>
              <w:top w:val="thinThickSmallGap" w:sz="24" w:space="0" w:color="auto"/>
            </w:tcBorders>
          </w:tcPr>
          <w:p w:rsidR="00131DEA" w:rsidRPr="0014666D" w:rsidRDefault="00131DEA" w:rsidP="00131DEA">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131DEA" w:rsidRDefault="00131DEA" w:rsidP="00131DEA">
            <w:pPr>
              <w:rPr>
                <w:sz w:val="20"/>
              </w:rPr>
            </w:pPr>
          </w:p>
        </w:tc>
        <w:tc>
          <w:tcPr>
            <w:tcW w:w="6660" w:type="dxa"/>
            <w:tcBorders>
              <w:top w:val="thinThickSmallGap" w:sz="24" w:space="0" w:color="auto"/>
            </w:tcBorders>
          </w:tcPr>
          <w:p w:rsidR="00131DEA" w:rsidRDefault="00131DEA" w:rsidP="00131DEA">
            <w:pPr>
              <w:rPr>
                <w:sz w:val="20"/>
              </w:rPr>
            </w:pPr>
            <w:r>
              <w:rPr>
                <w:sz w:val="20"/>
              </w:rPr>
              <w:t xml:space="preserve">                               </w:t>
            </w:r>
          </w:p>
        </w:tc>
      </w:tr>
      <w:tr w:rsidR="00131DEA">
        <w:trPr>
          <w:trHeight w:val="90"/>
        </w:trPr>
        <w:tc>
          <w:tcPr>
            <w:tcW w:w="720" w:type="dxa"/>
          </w:tcPr>
          <w:p w:rsidR="00131DEA" w:rsidRDefault="00131DEA" w:rsidP="00131DEA">
            <w:pPr>
              <w:jc w:val="center"/>
              <w:rPr>
                <w:sz w:val="20"/>
              </w:rPr>
            </w:pPr>
          </w:p>
        </w:tc>
        <w:tc>
          <w:tcPr>
            <w:tcW w:w="6120" w:type="dxa"/>
          </w:tcPr>
          <w:p w:rsidR="00131DEA" w:rsidRDefault="00131DEA" w:rsidP="00131DEA">
            <w:pPr>
              <w:rPr>
                <w:sz w:val="20"/>
              </w:rPr>
            </w:pPr>
            <w:r>
              <w:rPr>
                <w:sz w:val="20"/>
              </w:rPr>
              <w:t>*Denotes new discussion on old business.</w:t>
            </w:r>
          </w:p>
        </w:tc>
        <w:tc>
          <w:tcPr>
            <w:tcW w:w="540" w:type="dxa"/>
          </w:tcPr>
          <w:p w:rsidR="00131DEA" w:rsidRDefault="00131DEA" w:rsidP="00131DEA">
            <w:pPr>
              <w:rPr>
                <w:sz w:val="20"/>
              </w:rPr>
            </w:pPr>
          </w:p>
        </w:tc>
        <w:tc>
          <w:tcPr>
            <w:tcW w:w="6660" w:type="dxa"/>
          </w:tcPr>
          <w:p w:rsidR="00131DEA" w:rsidRDefault="00131DEA" w:rsidP="00131DEA">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F61225">
            <w:pPr>
              <w:rPr>
                <w:sz w:val="20"/>
                <w:szCs w:val="20"/>
              </w:rPr>
            </w:pP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973FD5">
            <w:pPr>
              <w:jc w:val="center"/>
              <w:rPr>
                <w:sz w:val="20"/>
              </w:rPr>
            </w:pPr>
          </w:p>
        </w:tc>
      </w:tr>
      <w:tr w:rsidR="00973FD5">
        <w:trPr>
          <w:trHeight w:val="710"/>
        </w:trPr>
        <w:tc>
          <w:tcPr>
            <w:tcW w:w="3132" w:type="dxa"/>
          </w:tcPr>
          <w:p w:rsidR="005E16FB" w:rsidRDefault="00973FD5" w:rsidP="00F61225">
            <w:pPr>
              <w:rPr>
                <w:sz w:val="20"/>
              </w:rPr>
            </w:pPr>
            <w:r>
              <w:rPr>
                <w:b/>
                <w:bCs/>
                <w:sz w:val="20"/>
              </w:rPr>
              <w:t xml:space="preserve">I. Call to </w:t>
            </w:r>
            <w:r w:rsidR="00F61225">
              <w:rPr>
                <w:b/>
                <w:bCs/>
                <w:sz w:val="20"/>
              </w:rPr>
              <w:t>O</w:t>
            </w:r>
            <w:r>
              <w:rPr>
                <w:b/>
                <w:bCs/>
                <w:sz w:val="20"/>
              </w:rPr>
              <w:t>rder</w:t>
            </w:r>
          </w:p>
        </w:tc>
        <w:tc>
          <w:tcPr>
            <w:tcW w:w="4608" w:type="dxa"/>
          </w:tcPr>
          <w:p w:rsidR="00973FD5" w:rsidRDefault="00973FD5">
            <w:pPr>
              <w:rPr>
                <w:sz w:val="20"/>
              </w:rPr>
            </w:pPr>
          </w:p>
        </w:tc>
        <w:tc>
          <w:tcPr>
            <w:tcW w:w="3484" w:type="dxa"/>
          </w:tcPr>
          <w:p w:rsidR="00973FD5" w:rsidRDefault="00F61225">
            <w:pPr>
              <w:rPr>
                <w:sz w:val="20"/>
              </w:rPr>
            </w:pPr>
            <w:r>
              <w:rPr>
                <w:sz w:val="20"/>
              </w:rPr>
              <w:t>2:07PM</w:t>
            </w:r>
          </w:p>
        </w:tc>
        <w:tc>
          <w:tcPr>
            <w:tcW w:w="2816" w:type="dxa"/>
          </w:tcPr>
          <w:p w:rsidR="00973FD5" w:rsidRDefault="00973FD5">
            <w:pPr>
              <w:rPr>
                <w:sz w:val="20"/>
              </w:rPr>
            </w:pPr>
          </w:p>
        </w:tc>
      </w:tr>
      <w:tr w:rsidR="00973FD5">
        <w:trPr>
          <w:trHeight w:val="593"/>
        </w:trPr>
        <w:tc>
          <w:tcPr>
            <w:tcW w:w="3132" w:type="dxa"/>
          </w:tcPr>
          <w:p w:rsidR="00973FD5" w:rsidRDefault="00973FD5">
            <w:pPr>
              <w:rPr>
                <w:b/>
                <w:bCs/>
                <w:sz w:val="20"/>
              </w:rPr>
            </w:pPr>
            <w:r>
              <w:rPr>
                <w:b/>
                <w:bCs/>
                <w:sz w:val="20"/>
              </w:rPr>
              <w:t>II. Approval of Minutes</w:t>
            </w:r>
          </w:p>
        </w:tc>
        <w:tc>
          <w:tcPr>
            <w:tcW w:w="4608" w:type="dxa"/>
          </w:tcPr>
          <w:p w:rsidR="00973FD5" w:rsidRDefault="00973FD5">
            <w:pPr>
              <w:rPr>
                <w:sz w:val="20"/>
              </w:rPr>
            </w:pPr>
          </w:p>
        </w:tc>
        <w:tc>
          <w:tcPr>
            <w:tcW w:w="3484" w:type="dxa"/>
          </w:tcPr>
          <w:p w:rsidR="004E039B" w:rsidRDefault="00F61225">
            <w:pPr>
              <w:rPr>
                <w:sz w:val="20"/>
              </w:rPr>
            </w:pPr>
            <w:r>
              <w:rPr>
                <w:sz w:val="20"/>
              </w:rPr>
              <w:t>Unanimous approval</w:t>
            </w: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973FD5" w:rsidRDefault="00973FD5">
            <w:pPr>
              <w:rPr>
                <w:sz w:val="20"/>
              </w:rPr>
            </w:pPr>
          </w:p>
        </w:tc>
        <w:tc>
          <w:tcPr>
            <w:tcW w:w="3484" w:type="dxa"/>
          </w:tcPr>
          <w:p w:rsidR="00973FD5" w:rsidRDefault="00973FD5">
            <w:pPr>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Pr="008B6D17" w:rsidRDefault="008B6D17" w:rsidP="008743F9">
            <w:pPr>
              <w:pStyle w:val="ListParagraph"/>
              <w:numPr>
                <w:ilvl w:val="0"/>
                <w:numId w:val="16"/>
              </w:numPr>
              <w:rPr>
                <w:b/>
                <w:bCs/>
                <w:sz w:val="20"/>
              </w:rPr>
            </w:pPr>
            <w:r>
              <w:rPr>
                <w:b/>
                <w:bCs/>
                <w:sz w:val="20"/>
              </w:rPr>
              <w:t>Emeritus Faculty</w:t>
            </w:r>
          </w:p>
        </w:tc>
        <w:tc>
          <w:tcPr>
            <w:tcW w:w="4608" w:type="dxa"/>
          </w:tcPr>
          <w:p w:rsidR="00B53E8C" w:rsidRDefault="008743F9" w:rsidP="009B0966">
            <w:pPr>
              <w:rPr>
                <w:sz w:val="20"/>
                <w:szCs w:val="20"/>
              </w:rPr>
            </w:pPr>
            <w:r>
              <w:rPr>
                <w:sz w:val="20"/>
                <w:szCs w:val="20"/>
              </w:rPr>
              <w:t>After FAPC Emeritus Faculty motion did not pass Senate last spring, the committee debated if it s</w:t>
            </w:r>
            <w:r w:rsidR="008B6D17">
              <w:rPr>
                <w:sz w:val="20"/>
                <w:szCs w:val="20"/>
              </w:rPr>
              <w:t>hould</w:t>
            </w:r>
            <w:r>
              <w:rPr>
                <w:sz w:val="20"/>
                <w:szCs w:val="20"/>
              </w:rPr>
              <w:t xml:space="preserve"> 1) send the</w:t>
            </w:r>
            <w:r w:rsidR="008B6D17">
              <w:rPr>
                <w:sz w:val="20"/>
                <w:szCs w:val="20"/>
              </w:rPr>
              <w:t xml:space="preserve"> </w:t>
            </w:r>
            <w:r>
              <w:rPr>
                <w:sz w:val="20"/>
                <w:szCs w:val="20"/>
              </w:rPr>
              <w:t>motion back to Senate without changes, 2) rework the motion and send it to Senate, or 3) shelve the motion.</w:t>
            </w:r>
          </w:p>
          <w:p w:rsidR="008B6D17" w:rsidRDefault="008B6D17" w:rsidP="009B0966">
            <w:pPr>
              <w:rPr>
                <w:sz w:val="20"/>
                <w:szCs w:val="20"/>
              </w:rPr>
            </w:pPr>
          </w:p>
          <w:p w:rsidR="00043E16" w:rsidRPr="00C672CE" w:rsidRDefault="003B081F" w:rsidP="009B0966">
            <w:pPr>
              <w:rPr>
                <w:sz w:val="20"/>
                <w:szCs w:val="20"/>
              </w:rPr>
            </w:pPr>
            <w:r>
              <w:rPr>
                <w:sz w:val="20"/>
                <w:szCs w:val="20"/>
              </w:rPr>
              <w:lastRenderedPageBreak/>
              <w:t xml:space="preserve">The Committee discussed </w:t>
            </w:r>
            <w:r w:rsidR="00303FF3">
              <w:rPr>
                <w:sz w:val="20"/>
                <w:szCs w:val="20"/>
              </w:rPr>
              <w:t xml:space="preserve">why Emeritus Faculty is an issue (there is no formal policy, and ECUS routed it to FAPC to clarify the benefits of being an Emeritus Faculty member), the benefits of retiring without Emeritus status (even email not guaranteed), </w:t>
            </w:r>
            <w:r>
              <w:rPr>
                <w:sz w:val="20"/>
                <w:szCs w:val="20"/>
              </w:rPr>
              <w:t>the current official benefits of the Emeritus title (Emeritus faculty have only a title</w:t>
            </w:r>
            <w:r w:rsidR="00303FF3">
              <w:rPr>
                <w:sz w:val="20"/>
                <w:szCs w:val="20"/>
              </w:rPr>
              <w:t xml:space="preserve"> and no defined benefits</w:t>
            </w:r>
            <w:r>
              <w:rPr>
                <w:sz w:val="20"/>
                <w:szCs w:val="20"/>
              </w:rPr>
              <w:t xml:space="preserve">), the </w:t>
            </w:r>
            <w:r w:rsidR="00303FF3">
              <w:rPr>
                <w:sz w:val="20"/>
                <w:szCs w:val="20"/>
              </w:rPr>
              <w:t xml:space="preserve">Administration’s </w:t>
            </w:r>
            <w:r>
              <w:rPr>
                <w:sz w:val="20"/>
                <w:szCs w:val="20"/>
              </w:rPr>
              <w:t xml:space="preserve">objections to the motion (the </w:t>
            </w:r>
            <w:r w:rsidR="00303FF3">
              <w:rPr>
                <w:sz w:val="20"/>
                <w:szCs w:val="20"/>
              </w:rPr>
              <w:t>objections appeared to be regarding the gym membership, parking, and bookstore benefits)</w:t>
            </w:r>
          </w:p>
        </w:tc>
        <w:tc>
          <w:tcPr>
            <w:tcW w:w="3484" w:type="dxa"/>
          </w:tcPr>
          <w:p w:rsidR="003F4AA3" w:rsidRDefault="008743F9" w:rsidP="008743F9">
            <w:pPr>
              <w:rPr>
                <w:sz w:val="20"/>
                <w:szCs w:val="20"/>
              </w:rPr>
            </w:pPr>
            <w:r>
              <w:rPr>
                <w:sz w:val="20"/>
                <w:szCs w:val="20"/>
              </w:rPr>
              <w:lastRenderedPageBreak/>
              <w:t>Unanimous</w:t>
            </w:r>
            <w:r w:rsidR="00043E16">
              <w:rPr>
                <w:sz w:val="20"/>
                <w:szCs w:val="20"/>
              </w:rPr>
              <w:t xml:space="preserve"> </w:t>
            </w:r>
            <w:r w:rsidR="00AC3A50">
              <w:rPr>
                <w:sz w:val="20"/>
                <w:szCs w:val="20"/>
              </w:rPr>
              <w:t>a</w:t>
            </w:r>
            <w:r w:rsidR="00043E16">
              <w:rPr>
                <w:sz w:val="20"/>
                <w:szCs w:val="20"/>
              </w:rPr>
              <w:t>pprov</w:t>
            </w:r>
            <w:r>
              <w:rPr>
                <w:sz w:val="20"/>
                <w:szCs w:val="20"/>
              </w:rPr>
              <w:t>al</w:t>
            </w:r>
          </w:p>
          <w:p w:rsidR="00303FF3" w:rsidRDefault="00303FF3" w:rsidP="00303FF3">
            <w:pPr>
              <w:rPr>
                <w:sz w:val="20"/>
                <w:szCs w:val="20"/>
              </w:rPr>
            </w:pPr>
          </w:p>
          <w:p w:rsidR="00303FF3" w:rsidRDefault="00303FF3" w:rsidP="00AC3A50">
            <w:pPr>
              <w:rPr>
                <w:sz w:val="20"/>
                <w:szCs w:val="20"/>
              </w:rPr>
            </w:pPr>
            <w:r>
              <w:rPr>
                <w:sz w:val="20"/>
                <w:szCs w:val="20"/>
              </w:rPr>
              <w:t xml:space="preserve">The Committee decided to change 1) the parking benefit to the ability to purchase an Employee permit, 2) delete the bookstore benefit, and 3) delete the gym </w:t>
            </w:r>
            <w:r>
              <w:rPr>
                <w:sz w:val="20"/>
                <w:szCs w:val="20"/>
              </w:rPr>
              <w:lastRenderedPageBreak/>
              <w:t>benefit, and then send the revised motion back to Senate.</w:t>
            </w:r>
          </w:p>
        </w:tc>
        <w:tc>
          <w:tcPr>
            <w:tcW w:w="2816" w:type="dxa"/>
          </w:tcPr>
          <w:p w:rsidR="00B53E8C" w:rsidRDefault="00B53E8C" w:rsidP="009B0966">
            <w:pPr>
              <w:rPr>
                <w:sz w:val="20"/>
              </w:rPr>
            </w:pPr>
          </w:p>
        </w:tc>
      </w:tr>
      <w:tr w:rsidR="003F4AA3" w:rsidRPr="008B1877">
        <w:trPr>
          <w:trHeight w:val="503"/>
        </w:trPr>
        <w:tc>
          <w:tcPr>
            <w:tcW w:w="3132" w:type="dxa"/>
            <w:tcBorders>
              <w:left w:val="double" w:sz="4" w:space="0" w:color="auto"/>
            </w:tcBorders>
          </w:tcPr>
          <w:p w:rsidR="003F4AA3" w:rsidRPr="008B1877" w:rsidRDefault="003F4AA3" w:rsidP="005E16FB">
            <w:pPr>
              <w:rPr>
                <w:b/>
                <w:bCs/>
                <w:sz w:val="20"/>
              </w:rPr>
            </w:pPr>
          </w:p>
        </w:tc>
        <w:tc>
          <w:tcPr>
            <w:tcW w:w="4608" w:type="dxa"/>
          </w:tcPr>
          <w:p w:rsidR="00367F64" w:rsidRPr="008B1877" w:rsidRDefault="00367F64" w:rsidP="006F53EF">
            <w:pPr>
              <w:rPr>
                <w:sz w:val="20"/>
                <w:szCs w:val="20"/>
              </w:rPr>
            </w:pPr>
          </w:p>
        </w:tc>
        <w:tc>
          <w:tcPr>
            <w:tcW w:w="3484" w:type="dxa"/>
          </w:tcPr>
          <w:p w:rsidR="009E3D43" w:rsidRPr="008B1877" w:rsidRDefault="009E3D43" w:rsidP="00367F64">
            <w:pPr>
              <w:rPr>
                <w:sz w:val="20"/>
                <w:szCs w:val="20"/>
              </w:rPr>
            </w:pPr>
          </w:p>
        </w:tc>
        <w:tc>
          <w:tcPr>
            <w:tcW w:w="2816" w:type="dxa"/>
          </w:tcPr>
          <w:p w:rsidR="004E3901" w:rsidRPr="008B1877" w:rsidRDefault="004E3901" w:rsidP="009B0966">
            <w:pPr>
              <w:rPr>
                <w:sz w:val="20"/>
              </w:rPr>
            </w:pPr>
          </w:p>
        </w:tc>
      </w:tr>
      <w:tr w:rsidR="004A6A23" w:rsidRPr="008B1877">
        <w:trPr>
          <w:trHeight w:val="530"/>
        </w:trPr>
        <w:tc>
          <w:tcPr>
            <w:tcW w:w="3132" w:type="dxa"/>
            <w:tcBorders>
              <w:left w:val="double" w:sz="4" w:space="0" w:color="auto"/>
            </w:tcBorders>
          </w:tcPr>
          <w:p w:rsidR="004A6A23" w:rsidRPr="008B1877" w:rsidRDefault="004A6A23" w:rsidP="004A6A23">
            <w:pPr>
              <w:rPr>
                <w:b/>
                <w:bCs/>
                <w:sz w:val="20"/>
              </w:rPr>
            </w:pPr>
            <w:r w:rsidRPr="008B1877">
              <w:rPr>
                <w:b/>
                <w:bCs/>
                <w:sz w:val="20"/>
              </w:rPr>
              <w:t>V.  New Business</w:t>
            </w:r>
          </w:p>
          <w:p w:rsidR="004A6A23" w:rsidRDefault="004A6A23" w:rsidP="004A6A23">
            <w:pPr>
              <w:pStyle w:val="Heading1"/>
              <w:rPr>
                <w:b w:val="0"/>
                <w:bCs w:val="0"/>
                <w:sz w:val="20"/>
              </w:rPr>
            </w:pPr>
            <w:r w:rsidRPr="008B1877">
              <w:rPr>
                <w:b w:val="0"/>
                <w:bCs w:val="0"/>
                <w:sz w:val="20"/>
              </w:rPr>
              <w:t>Actions/Recommendations</w:t>
            </w:r>
          </w:p>
          <w:p w:rsidR="005E16FB" w:rsidRPr="005E16FB" w:rsidRDefault="005E16FB" w:rsidP="005E16FB"/>
        </w:tc>
        <w:tc>
          <w:tcPr>
            <w:tcW w:w="4608" w:type="dxa"/>
          </w:tcPr>
          <w:p w:rsidR="004A6A23" w:rsidRPr="008B1877" w:rsidRDefault="004A6A23">
            <w:pPr>
              <w:rPr>
                <w:sz w:val="20"/>
                <w:szCs w:val="20"/>
              </w:rPr>
            </w:pPr>
          </w:p>
        </w:tc>
        <w:tc>
          <w:tcPr>
            <w:tcW w:w="3484" w:type="dxa"/>
          </w:tcPr>
          <w:p w:rsidR="004A6A23" w:rsidRPr="008B1877" w:rsidRDefault="004A6A23" w:rsidP="008B1877">
            <w:pPr>
              <w:rPr>
                <w:sz w:val="20"/>
              </w:rPr>
            </w:pPr>
          </w:p>
        </w:tc>
        <w:tc>
          <w:tcPr>
            <w:tcW w:w="2816" w:type="dxa"/>
          </w:tcPr>
          <w:p w:rsidR="004A6A23" w:rsidRPr="008B1877" w:rsidRDefault="004A6A23">
            <w:pPr>
              <w:rPr>
                <w:sz w:val="20"/>
              </w:rPr>
            </w:pPr>
          </w:p>
        </w:tc>
      </w:tr>
      <w:tr w:rsidR="007A1E5A" w:rsidRPr="008B1877">
        <w:trPr>
          <w:trHeight w:val="530"/>
        </w:trPr>
        <w:tc>
          <w:tcPr>
            <w:tcW w:w="3132" w:type="dxa"/>
            <w:tcBorders>
              <w:left w:val="double" w:sz="4" w:space="0" w:color="auto"/>
            </w:tcBorders>
          </w:tcPr>
          <w:p w:rsidR="007A1E5A" w:rsidRPr="008B1877" w:rsidRDefault="007A1E5A" w:rsidP="007A1E5A">
            <w:pPr>
              <w:rPr>
                <w:b/>
                <w:bCs/>
                <w:sz w:val="20"/>
              </w:rPr>
            </w:pPr>
            <w:r>
              <w:rPr>
                <w:b/>
                <w:bCs/>
                <w:sz w:val="20"/>
              </w:rPr>
              <w:t>1</w:t>
            </w:r>
            <w:r w:rsidRPr="008B1877">
              <w:rPr>
                <w:b/>
                <w:bCs/>
                <w:sz w:val="20"/>
              </w:rPr>
              <w:t xml:space="preserve">.  </w:t>
            </w:r>
            <w:r>
              <w:rPr>
                <w:b/>
                <w:bCs/>
                <w:sz w:val="20"/>
              </w:rPr>
              <w:t>Redbook</w:t>
            </w:r>
          </w:p>
        </w:tc>
        <w:tc>
          <w:tcPr>
            <w:tcW w:w="4608" w:type="dxa"/>
          </w:tcPr>
          <w:p w:rsidR="007A1E5A" w:rsidRPr="007A1E5A" w:rsidRDefault="007A1E5A" w:rsidP="00E07420">
            <w:pPr>
              <w:rPr>
                <w:sz w:val="20"/>
                <w:szCs w:val="20"/>
              </w:rPr>
            </w:pPr>
            <w:r>
              <w:rPr>
                <w:sz w:val="20"/>
                <w:szCs w:val="20"/>
              </w:rPr>
              <w:t xml:space="preserve">The Committee discussed how its members routinely refer to the </w:t>
            </w:r>
            <w:r>
              <w:rPr>
                <w:i/>
                <w:sz w:val="20"/>
                <w:szCs w:val="20"/>
              </w:rPr>
              <w:t>AAUP Redbook</w:t>
            </w:r>
            <w:r>
              <w:rPr>
                <w:sz w:val="20"/>
                <w:szCs w:val="20"/>
              </w:rPr>
              <w:t xml:space="preserve"> </w:t>
            </w:r>
            <w:r w:rsidR="00E07420">
              <w:rPr>
                <w:sz w:val="20"/>
                <w:szCs w:val="20"/>
              </w:rPr>
              <w:t>when drafting policy recommendations.</w:t>
            </w:r>
          </w:p>
        </w:tc>
        <w:tc>
          <w:tcPr>
            <w:tcW w:w="3484" w:type="dxa"/>
          </w:tcPr>
          <w:p w:rsidR="007A1E5A" w:rsidRPr="007A1E5A" w:rsidRDefault="007A1E5A" w:rsidP="007A1E5A">
            <w:pPr>
              <w:rPr>
                <w:i/>
                <w:sz w:val="20"/>
                <w:szCs w:val="20"/>
              </w:rPr>
            </w:pPr>
            <w:r>
              <w:rPr>
                <w:sz w:val="20"/>
                <w:szCs w:val="20"/>
              </w:rPr>
              <w:t xml:space="preserve">Chair will obtain copies of the </w:t>
            </w:r>
            <w:r w:rsidRPr="007A1E5A">
              <w:rPr>
                <w:i/>
                <w:sz w:val="20"/>
                <w:szCs w:val="20"/>
              </w:rPr>
              <w:t>AAUP Redbook</w:t>
            </w:r>
            <w:r>
              <w:rPr>
                <w:i/>
                <w:sz w:val="20"/>
                <w:szCs w:val="20"/>
              </w:rPr>
              <w:t>.</w:t>
            </w:r>
          </w:p>
          <w:p w:rsidR="007A1E5A" w:rsidRPr="007A1E5A" w:rsidRDefault="007A1E5A" w:rsidP="007A1E5A">
            <w:pPr>
              <w:rPr>
                <w:sz w:val="20"/>
                <w:szCs w:val="20"/>
              </w:rPr>
            </w:pPr>
            <w:r>
              <w:rPr>
                <w:sz w:val="20"/>
                <w:szCs w:val="20"/>
              </w:rPr>
              <w:t xml:space="preserve">Chair will ask ECUS to clarify what it wants ECUS to do with the </w:t>
            </w:r>
            <w:r>
              <w:rPr>
                <w:i/>
                <w:sz w:val="20"/>
                <w:szCs w:val="20"/>
              </w:rPr>
              <w:t>AAUP Redbook</w:t>
            </w:r>
            <w:r>
              <w:rPr>
                <w:sz w:val="20"/>
                <w:szCs w:val="20"/>
              </w:rPr>
              <w:t>.</w:t>
            </w:r>
          </w:p>
        </w:tc>
        <w:tc>
          <w:tcPr>
            <w:tcW w:w="2816" w:type="dxa"/>
          </w:tcPr>
          <w:p w:rsidR="007A1E5A" w:rsidRPr="008B1877" w:rsidRDefault="007A1E5A" w:rsidP="007A1E5A">
            <w:pPr>
              <w:rPr>
                <w:sz w:val="20"/>
              </w:rPr>
            </w:pPr>
          </w:p>
        </w:tc>
      </w:tr>
      <w:tr w:rsidR="007A1E5A" w:rsidRPr="008B1877">
        <w:trPr>
          <w:trHeight w:val="530"/>
        </w:trPr>
        <w:tc>
          <w:tcPr>
            <w:tcW w:w="3132" w:type="dxa"/>
            <w:tcBorders>
              <w:left w:val="double" w:sz="4" w:space="0" w:color="auto"/>
            </w:tcBorders>
          </w:tcPr>
          <w:p w:rsidR="007A1E5A" w:rsidRPr="007A1E5A" w:rsidRDefault="007A1E5A" w:rsidP="007A1E5A">
            <w:pPr>
              <w:pStyle w:val="ListParagraph"/>
              <w:numPr>
                <w:ilvl w:val="0"/>
                <w:numId w:val="16"/>
              </w:numPr>
              <w:rPr>
                <w:b/>
                <w:bCs/>
                <w:sz w:val="20"/>
              </w:rPr>
            </w:pPr>
            <w:r w:rsidRPr="007A1E5A">
              <w:rPr>
                <w:b/>
                <w:bCs/>
                <w:sz w:val="20"/>
              </w:rPr>
              <w:t>Summer Teaching</w:t>
            </w:r>
          </w:p>
        </w:tc>
        <w:tc>
          <w:tcPr>
            <w:tcW w:w="4608" w:type="dxa"/>
          </w:tcPr>
          <w:p w:rsidR="009637D3" w:rsidRPr="009637D3" w:rsidRDefault="00E07420" w:rsidP="009637D3">
            <w:pPr>
              <w:rPr>
                <w:sz w:val="20"/>
                <w:szCs w:val="20"/>
              </w:rPr>
            </w:pPr>
            <w:r>
              <w:rPr>
                <w:sz w:val="20"/>
                <w:szCs w:val="20"/>
              </w:rPr>
              <w:t>The Committee discussed their previous work on the issue of faculty work during the summer</w:t>
            </w:r>
            <w:r w:rsidR="009637D3">
              <w:rPr>
                <w:sz w:val="20"/>
                <w:szCs w:val="20"/>
              </w:rPr>
              <w:t>, including their recommendation to the Provost on January 14, 2011 (“</w:t>
            </w:r>
            <w:r w:rsidR="009637D3" w:rsidRPr="009637D3">
              <w:rPr>
                <w:sz w:val="20"/>
                <w:szCs w:val="20"/>
              </w:rPr>
              <w:t>To recommend that the Provost instruct all academic administrators that no faculty member be required to perform duties while not under contract. Further, that refusal by a faculty member to perform tasks while not under contract shall not be considered during the tenure application process, annual evaluati</w:t>
            </w:r>
            <w:r w:rsidR="009637D3">
              <w:rPr>
                <w:sz w:val="20"/>
                <w:szCs w:val="20"/>
              </w:rPr>
              <w:t>ons or merit increase decisions”) and the Associate Provost’s follow up on April 1, 2011 (“</w:t>
            </w:r>
            <w:r w:rsidR="009637D3" w:rsidRPr="009637D3">
              <w:rPr>
                <w:sz w:val="20"/>
                <w:szCs w:val="20"/>
              </w:rPr>
              <w:t xml:space="preserve">Associate Provost Tom Ormond provided an update from the Provost communicating </w:t>
            </w:r>
          </w:p>
          <w:p w:rsidR="009637D3" w:rsidRPr="009637D3" w:rsidRDefault="009637D3" w:rsidP="009637D3">
            <w:pPr>
              <w:rPr>
                <w:sz w:val="20"/>
                <w:szCs w:val="20"/>
              </w:rPr>
            </w:pPr>
            <w:r w:rsidRPr="009637D3">
              <w:rPr>
                <w:sz w:val="20"/>
                <w:szCs w:val="20"/>
              </w:rPr>
              <w:t>a. This motion was still under consideration by the Provost and has stimulated a rich dialogue with and among the academic deans. One of the threads of this dialogue has been an interest toward developing a “best practice,” rather than a policy.</w:t>
            </w:r>
          </w:p>
          <w:p w:rsidR="007A1E5A" w:rsidRPr="008B1877" w:rsidRDefault="009637D3" w:rsidP="009637D3">
            <w:pPr>
              <w:rPr>
                <w:sz w:val="20"/>
                <w:szCs w:val="20"/>
              </w:rPr>
            </w:pPr>
            <w:r w:rsidRPr="009637D3">
              <w:rPr>
                <w:sz w:val="20"/>
                <w:szCs w:val="20"/>
              </w:rPr>
              <w:t>b. The many job responsibilities and different types of contracts at the institution will all need to be considered in any final decision.</w:t>
            </w:r>
            <w:r>
              <w:rPr>
                <w:sz w:val="20"/>
                <w:szCs w:val="20"/>
              </w:rPr>
              <w:t>”)</w:t>
            </w:r>
          </w:p>
        </w:tc>
        <w:tc>
          <w:tcPr>
            <w:tcW w:w="3484" w:type="dxa"/>
          </w:tcPr>
          <w:p w:rsidR="007A1E5A" w:rsidRPr="008B1877" w:rsidRDefault="007A1E5A" w:rsidP="00E07420">
            <w:pPr>
              <w:rPr>
                <w:sz w:val="20"/>
              </w:rPr>
            </w:pPr>
            <w:r>
              <w:rPr>
                <w:sz w:val="20"/>
              </w:rPr>
              <w:t xml:space="preserve">Chair will ask ECUS </w:t>
            </w:r>
            <w:r w:rsidR="00E07420">
              <w:rPr>
                <w:sz w:val="20"/>
              </w:rPr>
              <w:t xml:space="preserve">to clarify </w:t>
            </w:r>
            <w:r>
              <w:rPr>
                <w:sz w:val="20"/>
              </w:rPr>
              <w:t>why the</w:t>
            </w:r>
            <w:r w:rsidR="00E07420">
              <w:rPr>
                <w:sz w:val="20"/>
              </w:rPr>
              <w:t xml:space="preserve"> issue has been </w:t>
            </w:r>
            <w:r>
              <w:rPr>
                <w:sz w:val="20"/>
              </w:rPr>
              <w:t xml:space="preserve">sent </w:t>
            </w:r>
            <w:r w:rsidR="00E07420">
              <w:rPr>
                <w:sz w:val="20"/>
              </w:rPr>
              <w:t>back to FAPC.</w:t>
            </w:r>
          </w:p>
        </w:tc>
        <w:tc>
          <w:tcPr>
            <w:tcW w:w="2816" w:type="dxa"/>
          </w:tcPr>
          <w:p w:rsidR="007A1E5A" w:rsidRPr="008B1877" w:rsidRDefault="007A1E5A" w:rsidP="007A1E5A">
            <w:pPr>
              <w:rPr>
                <w:sz w:val="20"/>
              </w:rPr>
            </w:pPr>
          </w:p>
        </w:tc>
      </w:tr>
      <w:tr w:rsidR="007A1E5A" w:rsidRPr="008B1877">
        <w:trPr>
          <w:trHeight w:val="530"/>
        </w:trPr>
        <w:tc>
          <w:tcPr>
            <w:tcW w:w="3132" w:type="dxa"/>
            <w:tcBorders>
              <w:left w:val="double" w:sz="4" w:space="0" w:color="auto"/>
            </w:tcBorders>
          </w:tcPr>
          <w:p w:rsidR="007A1E5A" w:rsidRPr="009C56BA" w:rsidRDefault="007A1E5A" w:rsidP="007A1E5A">
            <w:pPr>
              <w:pStyle w:val="Heading1"/>
              <w:rPr>
                <w:sz w:val="20"/>
              </w:rPr>
            </w:pPr>
            <w:r w:rsidRPr="008B1877">
              <w:rPr>
                <w:sz w:val="20"/>
              </w:rPr>
              <w:lastRenderedPageBreak/>
              <w:t>V</w:t>
            </w:r>
            <w:r>
              <w:rPr>
                <w:sz w:val="20"/>
              </w:rPr>
              <w:t>I.  Information Items</w:t>
            </w:r>
          </w:p>
          <w:p w:rsidR="007A1E5A" w:rsidRPr="008B1877" w:rsidRDefault="007A1E5A" w:rsidP="007A1E5A">
            <w:pPr>
              <w:rPr>
                <w:sz w:val="20"/>
              </w:rPr>
            </w:pPr>
          </w:p>
        </w:tc>
        <w:tc>
          <w:tcPr>
            <w:tcW w:w="4608" w:type="dxa"/>
          </w:tcPr>
          <w:p w:rsidR="007A1E5A" w:rsidRPr="008B1877" w:rsidRDefault="007A1E5A" w:rsidP="007A1E5A">
            <w:pPr>
              <w:rPr>
                <w:sz w:val="20"/>
                <w:szCs w:val="20"/>
              </w:rPr>
            </w:pPr>
          </w:p>
        </w:tc>
        <w:tc>
          <w:tcPr>
            <w:tcW w:w="3484" w:type="dxa"/>
          </w:tcPr>
          <w:p w:rsidR="007A1E5A" w:rsidRPr="008B1877" w:rsidRDefault="007A1E5A" w:rsidP="007A1E5A">
            <w:pPr>
              <w:rPr>
                <w:sz w:val="20"/>
              </w:rPr>
            </w:pPr>
          </w:p>
        </w:tc>
        <w:tc>
          <w:tcPr>
            <w:tcW w:w="2816" w:type="dxa"/>
          </w:tcPr>
          <w:p w:rsidR="007A1E5A" w:rsidRPr="008B1877" w:rsidRDefault="007A1E5A" w:rsidP="007A1E5A">
            <w:pPr>
              <w:rPr>
                <w:sz w:val="20"/>
              </w:rPr>
            </w:pPr>
          </w:p>
        </w:tc>
      </w:tr>
      <w:tr w:rsidR="007A1E5A" w:rsidRPr="008B1877">
        <w:trPr>
          <w:trHeight w:val="530"/>
        </w:trPr>
        <w:tc>
          <w:tcPr>
            <w:tcW w:w="3132" w:type="dxa"/>
            <w:tcBorders>
              <w:left w:val="double" w:sz="4" w:space="0" w:color="auto"/>
            </w:tcBorders>
          </w:tcPr>
          <w:p w:rsidR="007A1E5A" w:rsidRPr="007A1E5A" w:rsidRDefault="007A1E5A" w:rsidP="007A1E5A">
            <w:pPr>
              <w:pStyle w:val="Heading1"/>
              <w:numPr>
                <w:ilvl w:val="0"/>
                <w:numId w:val="18"/>
              </w:numPr>
              <w:rPr>
                <w:sz w:val="20"/>
              </w:rPr>
            </w:pPr>
            <w:r>
              <w:rPr>
                <w:sz w:val="20"/>
              </w:rPr>
              <w:t>Promotion &amp; Tenure Task Force</w:t>
            </w:r>
          </w:p>
        </w:tc>
        <w:tc>
          <w:tcPr>
            <w:tcW w:w="4608" w:type="dxa"/>
          </w:tcPr>
          <w:p w:rsidR="007A1E5A" w:rsidRPr="008B1877" w:rsidRDefault="007A1E5A" w:rsidP="007A1E5A">
            <w:pPr>
              <w:rPr>
                <w:sz w:val="20"/>
                <w:szCs w:val="20"/>
              </w:rPr>
            </w:pPr>
            <w:r>
              <w:rPr>
                <w:bCs/>
                <w:sz w:val="20"/>
              </w:rPr>
              <w:t xml:space="preserve">Colleges recently held elections </w:t>
            </w:r>
            <w:r w:rsidR="00682D78">
              <w:rPr>
                <w:bCs/>
                <w:sz w:val="20"/>
              </w:rPr>
              <w:t xml:space="preserve">of representatives </w:t>
            </w:r>
            <w:bookmarkStart w:id="0" w:name="_GoBack"/>
            <w:bookmarkEnd w:id="0"/>
            <w:r>
              <w:rPr>
                <w:bCs/>
                <w:sz w:val="20"/>
              </w:rPr>
              <w:t>to the Promotion &amp; Tenure Task Force.</w:t>
            </w:r>
          </w:p>
        </w:tc>
        <w:tc>
          <w:tcPr>
            <w:tcW w:w="3484" w:type="dxa"/>
          </w:tcPr>
          <w:p w:rsidR="007A1E5A" w:rsidRPr="008B1877" w:rsidRDefault="007A1E5A" w:rsidP="007A1E5A">
            <w:pPr>
              <w:rPr>
                <w:sz w:val="20"/>
              </w:rPr>
            </w:pPr>
          </w:p>
        </w:tc>
        <w:tc>
          <w:tcPr>
            <w:tcW w:w="2816" w:type="dxa"/>
          </w:tcPr>
          <w:p w:rsidR="007A1E5A" w:rsidRPr="008B1877" w:rsidRDefault="007A1E5A" w:rsidP="007A1E5A">
            <w:pPr>
              <w:rPr>
                <w:sz w:val="20"/>
              </w:rPr>
            </w:pPr>
          </w:p>
        </w:tc>
      </w:tr>
      <w:tr w:rsidR="007A1E5A" w:rsidRPr="008B1877">
        <w:trPr>
          <w:trHeight w:val="548"/>
        </w:trPr>
        <w:tc>
          <w:tcPr>
            <w:tcW w:w="3132" w:type="dxa"/>
            <w:tcBorders>
              <w:left w:val="double" w:sz="4" w:space="0" w:color="auto"/>
            </w:tcBorders>
          </w:tcPr>
          <w:p w:rsidR="007A1E5A" w:rsidRPr="008B1877" w:rsidRDefault="007A1E5A" w:rsidP="007A1E5A">
            <w:pPr>
              <w:pStyle w:val="Heading1"/>
              <w:rPr>
                <w:sz w:val="20"/>
              </w:rPr>
            </w:pPr>
            <w:r w:rsidRPr="008B1877">
              <w:rPr>
                <w:sz w:val="20"/>
              </w:rPr>
              <w:t>VI</w:t>
            </w:r>
            <w:r>
              <w:rPr>
                <w:sz w:val="20"/>
              </w:rPr>
              <w:t>I</w:t>
            </w:r>
            <w:r w:rsidRPr="008B1877">
              <w:rPr>
                <w:sz w:val="20"/>
              </w:rPr>
              <w:t>.  Adjournment</w:t>
            </w:r>
          </w:p>
        </w:tc>
        <w:tc>
          <w:tcPr>
            <w:tcW w:w="4608" w:type="dxa"/>
          </w:tcPr>
          <w:p w:rsidR="007A1E5A" w:rsidRPr="008B1877" w:rsidRDefault="007A1E5A" w:rsidP="007A1E5A">
            <w:pPr>
              <w:rPr>
                <w:sz w:val="20"/>
              </w:rPr>
            </w:pPr>
          </w:p>
        </w:tc>
        <w:tc>
          <w:tcPr>
            <w:tcW w:w="3484" w:type="dxa"/>
          </w:tcPr>
          <w:p w:rsidR="007A1E5A" w:rsidRPr="008B1877" w:rsidRDefault="007A1E5A" w:rsidP="007A1E5A">
            <w:pPr>
              <w:rPr>
                <w:sz w:val="20"/>
              </w:rPr>
            </w:pPr>
            <w:r>
              <w:rPr>
                <w:sz w:val="20"/>
              </w:rPr>
              <w:t>2:42PM</w:t>
            </w:r>
          </w:p>
        </w:tc>
        <w:tc>
          <w:tcPr>
            <w:tcW w:w="2816" w:type="dxa"/>
          </w:tcPr>
          <w:p w:rsidR="007A1E5A" w:rsidRPr="008B1877" w:rsidRDefault="007A1E5A" w:rsidP="007A1E5A">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973FD5">
      <w:pPr>
        <w:rPr>
          <w:b/>
          <w:bCs/>
          <w:sz w:val="20"/>
          <w:szCs w:val="20"/>
        </w:rPr>
      </w:pPr>
      <w:r w:rsidRPr="00CB2506">
        <w:rPr>
          <w:b/>
          <w:bCs/>
          <w:sz w:val="20"/>
          <w:szCs w:val="20"/>
        </w:rPr>
        <w:t>Distribution</w:t>
      </w:r>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973FD5" w:rsidRPr="001E511A" w:rsidRDefault="00973FD5">
      <w:pPr>
        <w:rPr>
          <w:color w:val="FF0000"/>
          <w:sz w:val="20"/>
        </w:rPr>
      </w:pPr>
      <w:r w:rsidRPr="008B1877">
        <w:rPr>
          <w:sz w:val="20"/>
        </w:rPr>
        <w:br w:type="page"/>
      </w:r>
    </w:p>
    <w:sectPr w:rsidR="00973FD5" w:rsidRPr="001E511A">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EC" w:rsidRDefault="00FA59EC">
      <w:r>
        <w:separator/>
      </w:r>
    </w:p>
  </w:endnote>
  <w:endnote w:type="continuationSeparator" w:id="0">
    <w:p w:rsidR="00FA59EC" w:rsidRDefault="00FA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EC" w:rsidRDefault="00FA59EC">
      <w:r>
        <w:separator/>
      </w:r>
    </w:p>
  </w:footnote>
  <w:footnote w:type="continuationSeparator" w:id="0">
    <w:p w:rsidR="00FA59EC" w:rsidRDefault="00FA59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0A313CA3"/>
    <w:multiLevelType w:val="hybridMultilevel"/>
    <w:tmpl w:val="DF485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CE7597"/>
    <w:multiLevelType w:val="hybridMultilevel"/>
    <w:tmpl w:val="6FBA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4"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7" w15:restartNumberingAfterBreak="0">
    <w:nsid w:val="7BCE61B4"/>
    <w:multiLevelType w:val="hybridMultilevel"/>
    <w:tmpl w:val="A73E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1"/>
  </w:num>
  <w:num w:numId="5">
    <w:abstractNumId w:val="15"/>
  </w:num>
  <w:num w:numId="6">
    <w:abstractNumId w:val="3"/>
  </w:num>
  <w:num w:numId="7">
    <w:abstractNumId w:val="12"/>
  </w:num>
  <w:num w:numId="8">
    <w:abstractNumId w:val="5"/>
  </w:num>
  <w:num w:numId="9">
    <w:abstractNumId w:val="14"/>
  </w:num>
  <w:num w:numId="10">
    <w:abstractNumId w:val="1"/>
  </w:num>
  <w:num w:numId="11">
    <w:abstractNumId w:val="16"/>
  </w:num>
  <w:num w:numId="12">
    <w:abstractNumId w:val="7"/>
  </w:num>
  <w:num w:numId="13">
    <w:abstractNumId w:val="6"/>
  </w:num>
  <w:num w:numId="14">
    <w:abstractNumId w:val="0"/>
  </w:num>
  <w:num w:numId="15">
    <w:abstractNumId w:val="13"/>
  </w:num>
  <w:num w:numId="16">
    <w:abstractNumId w:val="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430CA"/>
    <w:rsid w:val="00043E16"/>
    <w:rsid w:val="000507F8"/>
    <w:rsid w:val="00071A3E"/>
    <w:rsid w:val="0008395E"/>
    <w:rsid w:val="00092D4A"/>
    <w:rsid w:val="00094AE4"/>
    <w:rsid w:val="00095528"/>
    <w:rsid w:val="000A4DC9"/>
    <w:rsid w:val="000B6B06"/>
    <w:rsid w:val="000F3792"/>
    <w:rsid w:val="000F4925"/>
    <w:rsid w:val="0010559F"/>
    <w:rsid w:val="00131DEA"/>
    <w:rsid w:val="0014666D"/>
    <w:rsid w:val="001534E1"/>
    <w:rsid w:val="0016361B"/>
    <w:rsid w:val="00164A00"/>
    <w:rsid w:val="00171EE3"/>
    <w:rsid w:val="001736BC"/>
    <w:rsid w:val="00182B66"/>
    <w:rsid w:val="00190F09"/>
    <w:rsid w:val="00192D1B"/>
    <w:rsid w:val="001A2105"/>
    <w:rsid w:val="001B5DC5"/>
    <w:rsid w:val="001C7F61"/>
    <w:rsid w:val="001E511A"/>
    <w:rsid w:val="0021780F"/>
    <w:rsid w:val="00233260"/>
    <w:rsid w:val="00276814"/>
    <w:rsid w:val="002C221C"/>
    <w:rsid w:val="002C3502"/>
    <w:rsid w:val="002F2058"/>
    <w:rsid w:val="00303FF3"/>
    <w:rsid w:val="00332141"/>
    <w:rsid w:val="00335B6A"/>
    <w:rsid w:val="00367F64"/>
    <w:rsid w:val="003821DA"/>
    <w:rsid w:val="003A1462"/>
    <w:rsid w:val="003B081F"/>
    <w:rsid w:val="003E4149"/>
    <w:rsid w:val="003F4AA3"/>
    <w:rsid w:val="00400D60"/>
    <w:rsid w:val="0040653E"/>
    <w:rsid w:val="00447A2A"/>
    <w:rsid w:val="00455A30"/>
    <w:rsid w:val="0047678D"/>
    <w:rsid w:val="004A563E"/>
    <w:rsid w:val="004A6A23"/>
    <w:rsid w:val="004E039B"/>
    <w:rsid w:val="004E1440"/>
    <w:rsid w:val="004E3901"/>
    <w:rsid w:val="004F5424"/>
    <w:rsid w:val="005178A2"/>
    <w:rsid w:val="00536A40"/>
    <w:rsid w:val="00571EB8"/>
    <w:rsid w:val="00574FED"/>
    <w:rsid w:val="005854D8"/>
    <w:rsid w:val="00587DE3"/>
    <w:rsid w:val="005908DD"/>
    <w:rsid w:val="005E05D9"/>
    <w:rsid w:val="005E16FB"/>
    <w:rsid w:val="00602CF5"/>
    <w:rsid w:val="00615E39"/>
    <w:rsid w:val="00646059"/>
    <w:rsid w:val="00650251"/>
    <w:rsid w:val="006822B6"/>
    <w:rsid w:val="00682D78"/>
    <w:rsid w:val="00691580"/>
    <w:rsid w:val="00696F10"/>
    <w:rsid w:val="006E6389"/>
    <w:rsid w:val="006F53EF"/>
    <w:rsid w:val="00715F27"/>
    <w:rsid w:val="007351B8"/>
    <w:rsid w:val="00750727"/>
    <w:rsid w:val="0075567F"/>
    <w:rsid w:val="007717E5"/>
    <w:rsid w:val="0079008F"/>
    <w:rsid w:val="00790D29"/>
    <w:rsid w:val="00795292"/>
    <w:rsid w:val="007A1E5A"/>
    <w:rsid w:val="007D2387"/>
    <w:rsid w:val="00836B6D"/>
    <w:rsid w:val="0086210A"/>
    <w:rsid w:val="008743F9"/>
    <w:rsid w:val="00882493"/>
    <w:rsid w:val="00883914"/>
    <w:rsid w:val="00892A7C"/>
    <w:rsid w:val="008A20A6"/>
    <w:rsid w:val="008B1877"/>
    <w:rsid w:val="008B47DA"/>
    <w:rsid w:val="008B6D17"/>
    <w:rsid w:val="008F022D"/>
    <w:rsid w:val="009337C9"/>
    <w:rsid w:val="0093491D"/>
    <w:rsid w:val="00940D7D"/>
    <w:rsid w:val="00947CF9"/>
    <w:rsid w:val="009637D3"/>
    <w:rsid w:val="00967EF8"/>
    <w:rsid w:val="00973FD5"/>
    <w:rsid w:val="009915FE"/>
    <w:rsid w:val="009B0966"/>
    <w:rsid w:val="009C56BA"/>
    <w:rsid w:val="009D31CF"/>
    <w:rsid w:val="009E3D43"/>
    <w:rsid w:val="00A0233A"/>
    <w:rsid w:val="00A11911"/>
    <w:rsid w:val="00A3183C"/>
    <w:rsid w:val="00A36DC4"/>
    <w:rsid w:val="00A64755"/>
    <w:rsid w:val="00A93FA1"/>
    <w:rsid w:val="00AA4C96"/>
    <w:rsid w:val="00AC06FB"/>
    <w:rsid w:val="00AC3A50"/>
    <w:rsid w:val="00AE043E"/>
    <w:rsid w:val="00B11C50"/>
    <w:rsid w:val="00B366AB"/>
    <w:rsid w:val="00B53E8C"/>
    <w:rsid w:val="00B80200"/>
    <w:rsid w:val="00B8178C"/>
    <w:rsid w:val="00BB0581"/>
    <w:rsid w:val="00BB0A15"/>
    <w:rsid w:val="00BB32F6"/>
    <w:rsid w:val="00BF7D94"/>
    <w:rsid w:val="00C00493"/>
    <w:rsid w:val="00C0541B"/>
    <w:rsid w:val="00C36C92"/>
    <w:rsid w:val="00C672CE"/>
    <w:rsid w:val="00C8539E"/>
    <w:rsid w:val="00CA66E3"/>
    <w:rsid w:val="00CB1256"/>
    <w:rsid w:val="00CB2506"/>
    <w:rsid w:val="00CC49A0"/>
    <w:rsid w:val="00D171B9"/>
    <w:rsid w:val="00D21461"/>
    <w:rsid w:val="00D3100C"/>
    <w:rsid w:val="00D55D77"/>
    <w:rsid w:val="00D61215"/>
    <w:rsid w:val="00D94713"/>
    <w:rsid w:val="00DA0149"/>
    <w:rsid w:val="00DA144F"/>
    <w:rsid w:val="00DC0B9E"/>
    <w:rsid w:val="00DC73A4"/>
    <w:rsid w:val="00E07420"/>
    <w:rsid w:val="00E1796A"/>
    <w:rsid w:val="00E27D86"/>
    <w:rsid w:val="00E57EB6"/>
    <w:rsid w:val="00E72153"/>
    <w:rsid w:val="00EB7EF1"/>
    <w:rsid w:val="00EC5DD8"/>
    <w:rsid w:val="00EE074B"/>
    <w:rsid w:val="00EF78EC"/>
    <w:rsid w:val="00F14373"/>
    <w:rsid w:val="00F231ED"/>
    <w:rsid w:val="00F61225"/>
    <w:rsid w:val="00F753A1"/>
    <w:rsid w:val="00F83B82"/>
    <w:rsid w:val="00FA1DE5"/>
    <w:rsid w:val="00FA59EC"/>
    <w:rsid w:val="00FB1171"/>
    <w:rsid w:val="00FB54A6"/>
    <w:rsid w:val="00FB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95BDC"/>
  <w15:docId w15:val="{D9FCF4FB-80EF-408C-8571-46473E4A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8B6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Alex Blazer</cp:lastModifiedBy>
  <cp:revision>30</cp:revision>
  <cp:lastPrinted>2010-01-12T23:20:00Z</cp:lastPrinted>
  <dcterms:created xsi:type="dcterms:W3CDTF">2012-08-25T12:00:00Z</dcterms:created>
  <dcterms:modified xsi:type="dcterms:W3CDTF">2015-10-08T03:23:00Z</dcterms:modified>
</cp:coreProperties>
</file>